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4FA5" w14:textId="77777777" w:rsidR="00921B30" w:rsidRDefault="00921B30" w:rsidP="00921B30">
      <w:pPr>
        <w:widowControl w:val="0"/>
        <w:pBdr>
          <w:top w:val="nil"/>
          <w:left w:val="nil"/>
          <w:bottom w:val="nil"/>
          <w:right w:val="nil"/>
          <w:between w:val="nil"/>
        </w:pBdr>
        <w:spacing w:line="276" w:lineRule="auto"/>
        <w:rPr>
          <w:color w:val="000000"/>
          <w:szCs w:val="22"/>
        </w:rPr>
      </w:pPr>
    </w:p>
    <w:p w14:paraId="0DEFD527" w14:textId="77777777" w:rsidR="007308DA" w:rsidRDefault="007308DA" w:rsidP="00921B30">
      <w:pPr>
        <w:widowControl w:val="0"/>
        <w:pBdr>
          <w:top w:val="nil"/>
          <w:left w:val="nil"/>
          <w:bottom w:val="nil"/>
          <w:right w:val="nil"/>
          <w:between w:val="nil"/>
        </w:pBdr>
        <w:spacing w:line="276" w:lineRule="auto"/>
        <w:rPr>
          <w:color w:val="000000"/>
          <w:szCs w:val="22"/>
        </w:rPr>
      </w:pPr>
    </w:p>
    <w:tbl>
      <w:tblPr>
        <w:tblW w:w="8620" w:type="dxa"/>
        <w:tblLayout w:type="fixed"/>
        <w:tblLook w:val="0000" w:firstRow="0" w:lastRow="0" w:firstColumn="0" w:lastColumn="0" w:noHBand="0" w:noVBand="0"/>
      </w:tblPr>
      <w:tblGrid>
        <w:gridCol w:w="2268"/>
        <w:gridCol w:w="6352"/>
      </w:tblGrid>
      <w:tr w:rsidR="00921B30" w14:paraId="00043B08" w14:textId="77777777" w:rsidTr="00921B30">
        <w:trPr>
          <w:trHeight w:val="1679"/>
        </w:trPr>
        <w:tc>
          <w:tcPr>
            <w:tcW w:w="2268" w:type="dxa"/>
            <w:tcBorders>
              <w:right w:val="single" w:sz="4" w:space="0" w:color="000000"/>
            </w:tcBorders>
          </w:tcPr>
          <w:p w14:paraId="4FFA2A3B" w14:textId="77777777" w:rsidR="00921B30" w:rsidRDefault="00921B30" w:rsidP="00DD78C3">
            <w:pPr>
              <w:rPr>
                <w:rFonts w:ascii="Calibri" w:eastAsia="Calibri" w:hAnsi="Calibri" w:cs="Calibri"/>
              </w:rPr>
            </w:pPr>
            <w:r>
              <w:rPr>
                <w:rFonts w:ascii="Calibri" w:eastAsia="Calibri" w:hAnsi="Calibri" w:cs="Calibri"/>
              </w:rPr>
              <w:t xml:space="preserve"> </w:t>
            </w:r>
            <w:r w:rsidRPr="00FA458C">
              <w:rPr>
                <w:rFonts w:ascii="Calibri" w:eastAsia="Calibri" w:hAnsi="Calibri" w:cs="Calibri"/>
                <w:noProof/>
                <w:lang w:eastAsia="en-GB"/>
              </w:rPr>
              <w:drawing>
                <wp:inline distT="0" distB="0" distL="0" distR="0" wp14:anchorId="3D3E3F2B" wp14:editId="563E130D">
                  <wp:extent cx="1250950" cy="552450"/>
                  <wp:effectExtent l="0" t="0" r="6350" b="6350"/>
                  <wp:docPr id="13452989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98930" name="Picture 1" descr="A blue and white logo&#10;&#10;Description automatically generated"/>
                          <pic:cNvPicPr/>
                        </pic:nvPicPr>
                        <pic:blipFill>
                          <a:blip r:embed="rId8"/>
                          <a:stretch>
                            <a:fillRect/>
                          </a:stretch>
                        </pic:blipFill>
                        <pic:spPr>
                          <a:xfrm>
                            <a:off x="0" y="0"/>
                            <a:ext cx="1250950" cy="552450"/>
                          </a:xfrm>
                          <a:prstGeom prst="rect">
                            <a:avLst/>
                          </a:prstGeom>
                        </pic:spPr>
                      </pic:pic>
                    </a:graphicData>
                  </a:graphic>
                </wp:inline>
              </w:drawing>
            </w:r>
          </w:p>
        </w:tc>
        <w:tc>
          <w:tcPr>
            <w:tcW w:w="6352" w:type="dxa"/>
            <w:tcBorders>
              <w:left w:val="single" w:sz="4" w:space="0" w:color="000000"/>
            </w:tcBorders>
          </w:tcPr>
          <w:p w14:paraId="4B33099A" w14:textId="77777777" w:rsidR="00921B30" w:rsidRDefault="00921B30" w:rsidP="00DD78C3">
            <w:pPr>
              <w:jc w:val="right"/>
              <w:rPr>
                <w:rFonts w:ascii="Calibri" w:eastAsia="Calibri" w:hAnsi="Calibri" w:cs="Calibri"/>
                <w:b/>
                <w:i/>
                <w:color w:val="999999"/>
                <w:sz w:val="72"/>
                <w:szCs w:val="72"/>
              </w:rPr>
            </w:pPr>
          </w:p>
        </w:tc>
      </w:tr>
      <w:tr w:rsidR="00921B30" w14:paraId="4500F676" w14:textId="77777777" w:rsidTr="00921B30">
        <w:trPr>
          <w:trHeight w:val="656"/>
        </w:trPr>
        <w:tc>
          <w:tcPr>
            <w:tcW w:w="2268" w:type="dxa"/>
            <w:tcBorders>
              <w:right w:val="single" w:sz="4" w:space="0" w:color="000000"/>
            </w:tcBorders>
          </w:tcPr>
          <w:p w14:paraId="3D594C77" w14:textId="77777777" w:rsidR="00921B30" w:rsidRDefault="00921B30" w:rsidP="00DD78C3">
            <w:pPr>
              <w:rPr>
                <w:rFonts w:ascii="Calibri" w:eastAsia="Calibri" w:hAnsi="Calibri" w:cs="Calibri"/>
                <w:sz w:val="28"/>
                <w:szCs w:val="28"/>
              </w:rPr>
            </w:pPr>
          </w:p>
        </w:tc>
        <w:tc>
          <w:tcPr>
            <w:tcW w:w="6352" w:type="dxa"/>
            <w:tcBorders>
              <w:left w:val="single" w:sz="4" w:space="0" w:color="000000"/>
            </w:tcBorders>
          </w:tcPr>
          <w:p w14:paraId="25D751AB" w14:textId="77777777" w:rsidR="00921B30" w:rsidRDefault="00921B30" w:rsidP="00DD78C3">
            <w:pPr>
              <w:rPr>
                <w:rFonts w:ascii="Calibri" w:eastAsia="Calibri" w:hAnsi="Calibri" w:cs="Calibri"/>
                <w:b/>
                <w:color w:val="000000"/>
                <w:sz w:val="28"/>
                <w:szCs w:val="28"/>
              </w:rPr>
            </w:pPr>
          </w:p>
          <w:p w14:paraId="5064C5B1" w14:textId="77777777" w:rsidR="00921B30" w:rsidRDefault="00921B30" w:rsidP="00DD78C3">
            <w:pPr>
              <w:rPr>
                <w:rFonts w:ascii="Calibri" w:eastAsia="Calibri" w:hAnsi="Calibri" w:cs="Calibri"/>
                <w:b/>
                <w:color w:val="000000"/>
                <w:sz w:val="28"/>
                <w:szCs w:val="28"/>
              </w:rPr>
            </w:pPr>
          </w:p>
        </w:tc>
      </w:tr>
      <w:tr w:rsidR="00921B30" w14:paraId="3FEC6715" w14:textId="77777777" w:rsidTr="00921B30">
        <w:trPr>
          <w:trHeight w:val="2706"/>
        </w:trPr>
        <w:tc>
          <w:tcPr>
            <w:tcW w:w="2268" w:type="dxa"/>
            <w:tcBorders>
              <w:right w:val="single" w:sz="4" w:space="0" w:color="000000"/>
            </w:tcBorders>
          </w:tcPr>
          <w:p w14:paraId="50FBDA91" w14:textId="77777777" w:rsidR="00921B30" w:rsidRDefault="00921B30" w:rsidP="00DD78C3">
            <w:pPr>
              <w:rPr>
                <w:rFonts w:ascii="Calibri" w:eastAsia="Calibri" w:hAnsi="Calibri" w:cs="Calibri"/>
              </w:rPr>
            </w:pPr>
          </w:p>
        </w:tc>
        <w:tc>
          <w:tcPr>
            <w:tcW w:w="6352" w:type="dxa"/>
            <w:tcBorders>
              <w:left w:val="single" w:sz="4" w:space="0" w:color="000000"/>
            </w:tcBorders>
          </w:tcPr>
          <w:p w14:paraId="68FCD460" w14:textId="77777777" w:rsidR="00921B30" w:rsidRDefault="00921B30" w:rsidP="00DD78C3">
            <w:pPr>
              <w:rPr>
                <w:rFonts w:ascii="Calibri" w:eastAsia="Calibri" w:hAnsi="Calibri" w:cs="Calibri"/>
              </w:rPr>
            </w:pPr>
          </w:p>
          <w:p w14:paraId="466C4FB3" w14:textId="77777777" w:rsidR="00921B30" w:rsidRDefault="00921B30" w:rsidP="00DD78C3">
            <w:pPr>
              <w:jc w:val="center"/>
              <w:rPr>
                <w:rFonts w:ascii="Calibri" w:eastAsia="Calibri" w:hAnsi="Calibri" w:cs="Calibri"/>
                <w:b/>
                <w:bCs/>
                <w:sz w:val="40"/>
                <w:szCs w:val="40"/>
              </w:rPr>
            </w:pPr>
            <w:r w:rsidRPr="00FA458C">
              <w:rPr>
                <w:rFonts w:ascii="Calibri" w:eastAsia="Calibri" w:hAnsi="Calibri" w:cs="Calibri"/>
                <w:b/>
                <w:bCs/>
                <w:noProof/>
                <w:sz w:val="40"/>
                <w:szCs w:val="40"/>
                <w:lang w:eastAsia="en-GB"/>
              </w:rPr>
              <w:drawing>
                <wp:inline distT="0" distB="0" distL="0" distR="0" wp14:anchorId="57F8E9CF" wp14:editId="266DBE0E">
                  <wp:extent cx="3239370" cy="1244600"/>
                  <wp:effectExtent l="0" t="0" r="0" b="0"/>
                  <wp:docPr id="48296996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69961" name="Picture 1" descr="A blue and white logo&#10;&#10;Description automatically generated"/>
                          <pic:cNvPicPr/>
                        </pic:nvPicPr>
                        <pic:blipFill>
                          <a:blip r:embed="rId9"/>
                          <a:stretch>
                            <a:fillRect/>
                          </a:stretch>
                        </pic:blipFill>
                        <pic:spPr>
                          <a:xfrm>
                            <a:off x="0" y="0"/>
                            <a:ext cx="3251885" cy="1249408"/>
                          </a:xfrm>
                          <a:prstGeom prst="rect">
                            <a:avLst/>
                          </a:prstGeom>
                        </pic:spPr>
                      </pic:pic>
                    </a:graphicData>
                  </a:graphic>
                </wp:inline>
              </w:drawing>
            </w:r>
          </w:p>
          <w:p w14:paraId="7D189EEB" w14:textId="77777777" w:rsidR="00921B30" w:rsidRDefault="00921B30" w:rsidP="00DD78C3">
            <w:pPr>
              <w:jc w:val="center"/>
              <w:rPr>
                <w:rFonts w:ascii="Calibri" w:eastAsia="Calibri" w:hAnsi="Calibri" w:cs="Calibri"/>
                <w:b/>
                <w:bCs/>
                <w:sz w:val="48"/>
                <w:szCs w:val="48"/>
              </w:rPr>
            </w:pPr>
          </w:p>
          <w:p w14:paraId="443A644A" w14:textId="580619CC" w:rsidR="00921B30" w:rsidRPr="00FA458C" w:rsidRDefault="00921B30" w:rsidP="00DD78C3">
            <w:pPr>
              <w:jc w:val="center"/>
              <w:rPr>
                <w:rFonts w:ascii="Calibri" w:eastAsia="Calibri" w:hAnsi="Calibri" w:cs="Calibri"/>
                <w:b/>
                <w:bCs/>
                <w:sz w:val="48"/>
                <w:szCs w:val="48"/>
              </w:rPr>
            </w:pPr>
            <w:r w:rsidRPr="00FA458C">
              <w:rPr>
                <w:rFonts w:ascii="Calibri" w:eastAsia="Calibri" w:hAnsi="Calibri" w:cs="Calibri"/>
                <w:b/>
                <w:bCs/>
                <w:sz w:val="48"/>
                <w:szCs w:val="48"/>
              </w:rPr>
              <w:t>The 8</w:t>
            </w:r>
            <w:r w:rsidRPr="00FA458C">
              <w:rPr>
                <w:rFonts w:ascii="Calibri" w:eastAsia="Calibri" w:hAnsi="Calibri" w:cs="Calibri"/>
                <w:b/>
                <w:bCs/>
                <w:sz w:val="48"/>
                <w:szCs w:val="48"/>
                <w:vertAlign w:val="superscript"/>
              </w:rPr>
              <w:t>th</w:t>
            </w:r>
            <w:r w:rsidRPr="00FA458C">
              <w:rPr>
                <w:rFonts w:ascii="Calibri" w:eastAsia="Calibri" w:hAnsi="Calibri" w:cs="Calibri"/>
                <w:b/>
                <w:bCs/>
                <w:sz w:val="48"/>
                <w:szCs w:val="48"/>
              </w:rPr>
              <w:t xml:space="preserve"> National Audit Project of the Royal College of Anaesthetists</w:t>
            </w:r>
          </w:p>
          <w:p w14:paraId="0F2631B1" w14:textId="77777777" w:rsidR="00921B30" w:rsidRDefault="00921B30" w:rsidP="00DD78C3">
            <w:pPr>
              <w:rPr>
                <w:rFonts w:ascii="Calibri" w:eastAsia="Calibri" w:hAnsi="Calibri" w:cs="Calibri"/>
              </w:rPr>
            </w:pPr>
          </w:p>
          <w:p w14:paraId="474D1FBA" w14:textId="77777777" w:rsidR="00921B30" w:rsidRDefault="00921B30" w:rsidP="00DD78C3">
            <w:pPr>
              <w:rPr>
                <w:rFonts w:ascii="Calibri" w:eastAsia="Calibri" w:hAnsi="Calibri" w:cs="Calibri"/>
              </w:rPr>
            </w:pPr>
          </w:p>
          <w:p w14:paraId="74C706E5" w14:textId="77777777" w:rsidR="00921B30" w:rsidRDefault="00921B30" w:rsidP="00DD78C3">
            <w:pPr>
              <w:rPr>
                <w:rFonts w:ascii="Calibri" w:eastAsia="Calibri" w:hAnsi="Calibri" w:cs="Calibri"/>
              </w:rPr>
            </w:pPr>
            <w:r>
              <w:rPr>
                <w:rFonts w:ascii="Calibri" w:eastAsia="Calibri" w:hAnsi="Calibri" w:cs="Calibri"/>
              </w:rPr>
              <w:tab/>
            </w:r>
          </w:p>
          <w:p w14:paraId="126087B7" w14:textId="77777777" w:rsidR="00921B30" w:rsidRDefault="00921B30" w:rsidP="00DD78C3">
            <w:pPr>
              <w:rPr>
                <w:rFonts w:ascii="Calibri" w:eastAsia="Calibri" w:hAnsi="Calibri" w:cs="Calibri"/>
              </w:rPr>
            </w:pPr>
          </w:p>
          <w:p w14:paraId="1C432903" w14:textId="77777777" w:rsidR="00921B30" w:rsidRDefault="00921B30" w:rsidP="00DD78C3">
            <w:pPr>
              <w:rPr>
                <w:rFonts w:ascii="Calibri" w:eastAsia="Calibri" w:hAnsi="Calibri" w:cs="Calibri"/>
              </w:rPr>
            </w:pPr>
          </w:p>
          <w:p w14:paraId="57890E09" w14:textId="77777777" w:rsidR="00921B30" w:rsidRDefault="00921B30" w:rsidP="00DD78C3">
            <w:pPr>
              <w:rPr>
                <w:rFonts w:ascii="Calibri" w:eastAsia="Calibri" w:hAnsi="Calibri" w:cs="Calibri"/>
              </w:rPr>
            </w:pPr>
          </w:p>
        </w:tc>
      </w:tr>
      <w:tr w:rsidR="00921B30" w14:paraId="3184AD1B" w14:textId="77777777" w:rsidTr="00921B30">
        <w:trPr>
          <w:trHeight w:val="1297"/>
        </w:trPr>
        <w:tc>
          <w:tcPr>
            <w:tcW w:w="2268" w:type="dxa"/>
            <w:tcBorders>
              <w:right w:val="single" w:sz="4" w:space="0" w:color="000000"/>
            </w:tcBorders>
          </w:tcPr>
          <w:p w14:paraId="6B3B551C" w14:textId="77777777" w:rsidR="00921B30" w:rsidRDefault="00921B30" w:rsidP="00DD78C3">
            <w:pPr>
              <w:rPr>
                <w:rFonts w:ascii="Calibri" w:eastAsia="Calibri" w:hAnsi="Calibri" w:cs="Calibri"/>
              </w:rPr>
            </w:pPr>
          </w:p>
        </w:tc>
        <w:tc>
          <w:tcPr>
            <w:tcW w:w="6352" w:type="dxa"/>
            <w:tcBorders>
              <w:left w:val="single" w:sz="4" w:space="0" w:color="000000"/>
            </w:tcBorders>
          </w:tcPr>
          <w:p w14:paraId="5E3D141F" w14:textId="77777777" w:rsidR="00921B30" w:rsidRDefault="00921B30" w:rsidP="00DD78C3">
            <w:pPr>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p>
          <w:p w14:paraId="6839DA54" w14:textId="77777777" w:rsidR="00921B30" w:rsidRDefault="00921B30" w:rsidP="00DD78C3">
            <w:pPr>
              <w:tabs>
                <w:tab w:val="left" w:pos="4238"/>
              </w:tabs>
              <w:jc w:val="both"/>
              <w:rPr>
                <w:rFonts w:ascii="Calibri" w:eastAsia="Calibri" w:hAnsi="Calibri" w:cs="Calibri"/>
                <w:color w:val="000000"/>
              </w:rPr>
            </w:pPr>
          </w:p>
          <w:p w14:paraId="0E79A608" w14:textId="77777777" w:rsidR="00921B30" w:rsidRDefault="00921B30" w:rsidP="00DD78C3">
            <w:pPr>
              <w:tabs>
                <w:tab w:val="left" w:pos="4238"/>
              </w:tabs>
              <w:jc w:val="both"/>
              <w:rPr>
                <w:rFonts w:ascii="Calibri" w:eastAsia="Calibri" w:hAnsi="Calibri" w:cs="Calibri"/>
                <w:color w:val="000000"/>
              </w:rPr>
            </w:pPr>
          </w:p>
          <w:p w14:paraId="6BE32864" w14:textId="77777777" w:rsidR="00921B30" w:rsidRDefault="00921B30" w:rsidP="00DD78C3">
            <w:pPr>
              <w:tabs>
                <w:tab w:val="left" w:pos="4238"/>
              </w:tabs>
              <w:jc w:val="both"/>
              <w:rPr>
                <w:rFonts w:ascii="Calibri" w:eastAsia="Calibri" w:hAnsi="Calibri" w:cs="Calibri"/>
                <w:color w:val="000000"/>
              </w:rPr>
            </w:pPr>
          </w:p>
          <w:p w14:paraId="049179F8" w14:textId="77777777" w:rsidR="00921B30" w:rsidRDefault="00921B30" w:rsidP="00DD78C3">
            <w:pPr>
              <w:tabs>
                <w:tab w:val="left" w:pos="4238"/>
              </w:tabs>
              <w:jc w:val="both"/>
              <w:rPr>
                <w:rFonts w:ascii="Calibri" w:eastAsia="Calibri" w:hAnsi="Calibri" w:cs="Calibri"/>
                <w:color w:val="000000"/>
              </w:rPr>
            </w:pPr>
          </w:p>
          <w:p w14:paraId="5C00D950" w14:textId="41E73CF6"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APPENDIX 6: DEFINITION OF </w:t>
            </w:r>
            <w:r w:rsidR="00BD2DF5">
              <w:rPr>
                <w:rFonts w:ascii="Calibri" w:eastAsia="Calibri" w:hAnsi="Calibri" w:cs="Calibri"/>
                <w:color w:val="000000"/>
              </w:rPr>
              <w:t>G</w:t>
            </w:r>
            <w:r w:rsidR="00156841">
              <w:rPr>
                <w:rFonts w:ascii="Calibri" w:eastAsia="Calibri" w:hAnsi="Calibri" w:cs="Calibri"/>
                <w:color w:val="000000"/>
              </w:rPr>
              <w:t>A</w:t>
            </w:r>
            <w:r w:rsidR="00BD2DF5">
              <w:rPr>
                <w:rFonts w:ascii="Calibri" w:eastAsia="Calibri" w:hAnsi="Calibri" w:cs="Calibri"/>
                <w:color w:val="000000"/>
              </w:rPr>
              <w:t xml:space="preserve">/sedation/monitored anaesthesia care </w:t>
            </w:r>
          </w:p>
          <w:p w14:paraId="5426669C" w14:textId="77777777" w:rsidR="00921B30" w:rsidRDefault="00921B30" w:rsidP="00DD78C3">
            <w:pPr>
              <w:tabs>
                <w:tab w:val="left" w:pos="4238"/>
              </w:tabs>
              <w:jc w:val="both"/>
              <w:rPr>
                <w:rFonts w:ascii="Calibri" w:eastAsia="Calibri" w:hAnsi="Calibri" w:cs="Calibri"/>
                <w:color w:val="000000"/>
              </w:rPr>
            </w:pPr>
          </w:p>
          <w:p w14:paraId="4CE45C52" w14:textId="71762B64"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Version </w:t>
            </w:r>
            <w:r w:rsidR="00BD2DF5">
              <w:rPr>
                <w:rFonts w:ascii="Calibri" w:eastAsia="Calibri" w:hAnsi="Calibri" w:cs="Calibri"/>
                <w:color w:val="000000"/>
              </w:rPr>
              <w:t>1</w:t>
            </w:r>
            <w:r w:rsidR="00C0762E">
              <w:rPr>
                <w:rFonts w:ascii="Calibri" w:eastAsia="Calibri" w:hAnsi="Calibri" w:cs="Calibri"/>
                <w:color w:val="000000"/>
              </w:rPr>
              <w:t>.</w:t>
            </w:r>
            <w:r w:rsidR="00252123">
              <w:rPr>
                <w:rFonts w:ascii="Calibri" w:eastAsia="Calibri" w:hAnsi="Calibri" w:cs="Calibri"/>
                <w:color w:val="000000"/>
              </w:rPr>
              <w:t>4</w:t>
            </w:r>
          </w:p>
          <w:p w14:paraId="5CAA4326" w14:textId="77777777" w:rsidR="00921B30" w:rsidRDefault="00921B30" w:rsidP="00DD78C3">
            <w:pPr>
              <w:tabs>
                <w:tab w:val="left" w:pos="4238"/>
              </w:tabs>
              <w:jc w:val="both"/>
              <w:rPr>
                <w:rFonts w:ascii="Calibri" w:eastAsia="Calibri" w:hAnsi="Calibri" w:cs="Calibri"/>
                <w:color w:val="000000"/>
              </w:rPr>
            </w:pPr>
          </w:p>
          <w:p w14:paraId="279DB113" w14:textId="04A4DD4C" w:rsidR="00921B30" w:rsidRDefault="00921B30" w:rsidP="00DD78C3">
            <w:pPr>
              <w:tabs>
                <w:tab w:val="left" w:pos="4238"/>
              </w:tabs>
              <w:jc w:val="both"/>
              <w:rPr>
                <w:rFonts w:ascii="Calibri" w:eastAsia="Calibri" w:hAnsi="Calibri" w:cs="Calibri"/>
                <w:color w:val="000000"/>
              </w:rPr>
            </w:pPr>
            <w:r>
              <w:rPr>
                <w:rFonts w:ascii="Calibri" w:eastAsia="Calibri" w:hAnsi="Calibri" w:cs="Calibri"/>
                <w:color w:val="000000"/>
              </w:rPr>
              <w:t xml:space="preserve">Date: </w:t>
            </w:r>
            <w:r w:rsidR="00252123">
              <w:rPr>
                <w:rFonts w:ascii="Calibri" w:eastAsia="Calibri" w:hAnsi="Calibri" w:cs="Calibri"/>
                <w:color w:val="000000"/>
              </w:rPr>
              <w:t>April</w:t>
            </w:r>
            <w:r w:rsidR="00252123">
              <w:rPr>
                <w:rFonts w:ascii="Calibri" w:eastAsia="Calibri" w:hAnsi="Calibri" w:cs="Calibri"/>
                <w:color w:val="000000"/>
              </w:rPr>
              <w:t xml:space="preserve"> </w:t>
            </w:r>
            <w:r w:rsidR="001B6AFB">
              <w:rPr>
                <w:rFonts w:ascii="Calibri" w:eastAsia="Calibri" w:hAnsi="Calibri" w:cs="Calibri"/>
                <w:color w:val="000000"/>
              </w:rPr>
              <w:t>202</w:t>
            </w:r>
            <w:r w:rsidR="003C3F66">
              <w:rPr>
                <w:rFonts w:ascii="Calibri" w:eastAsia="Calibri" w:hAnsi="Calibri" w:cs="Calibri"/>
                <w:color w:val="000000"/>
              </w:rPr>
              <w:t>6</w:t>
            </w:r>
          </w:p>
          <w:p w14:paraId="55DD9AB3" w14:textId="77777777" w:rsidR="00921B30" w:rsidRDefault="00921B30" w:rsidP="00DD78C3">
            <w:pPr>
              <w:tabs>
                <w:tab w:val="left" w:pos="4268"/>
              </w:tabs>
              <w:jc w:val="both"/>
              <w:rPr>
                <w:rFonts w:ascii="Calibri" w:eastAsia="Calibri" w:hAnsi="Calibri" w:cs="Calibri"/>
                <w:color w:val="000000"/>
              </w:rPr>
            </w:pPr>
          </w:p>
        </w:tc>
      </w:tr>
      <w:tr w:rsidR="00921B30" w14:paraId="357F4C76" w14:textId="77777777" w:rsidTr="00921B30">
        <w:trPr>
          <w:trHeight w:val="244"/>
        </w:trPr>
        <w:tc>
          <w:tcPr>
            <w:tcW w:w="2268" w:type="dxa"/>
            <w:tcBorders>
              <w:right w:val="single" w:sz="4" w:space="0" w:color="000000"/>
            </w:tcBorders>
          </w:tcPr>
          <w:p w14:paraId="49F1A3C0" w14:textId="77777777" w:rsidR="00921B30" w:rsidRDefault="00921B30" w:rsidP="00DD78C3">
            <w:pPr>
              <w:rPr>
                <w:rFonts w:ascii="Calibri" w:eastAsia="Calibri" w:hAnsi="Calibri" w:cs="Calibri"/>
              </w:rPr>
            </w:pPr>
          </w:p>
        </w:tc>
        <w:tc>
          <w:tcPr>
            <w:tcW w:w="6352" w:type="dxa"/>
            <w:tcBorders>
              <w:left w:val="single" w:sz="4" w:space="0" w:color="000000"/>
            </w:tcBorders>
          </w:tcPr>
          <w:p w14:paraId="5623C667" w14:textId="77777777" w:rsidR="00921B30" w:rsidRDefault="00921B30" w:rsidP="00DD78C3">
            <w:pPr>
              <w:jc w:val="both"/>
              <w:rPr>
                <w:rFonts w:ascii="Calibri" w:eastAsia="Calibri" w:hAnsi="Calibri" w:cs="Calibri"/>
                <w:color w:val="999999"/>
              </w:rPr>
            </w:pPr>
            <w:r>
              <w:rPr>
                <w:rFonts w:ascii="Calibri" w:eastAsia="Calibri" w:hAnsi="Calibri" w:cs="Calibri"/>
              </w:rPr>
              <w:t xml:space="preserve">           </w:t>
            </w:r>
          </w:p>
        </w:tc>
      </w:tr>
      <w:tr w:rsidR="00921B30" w14:paraId="0D978947" w14:textId="77777777" w:rsidTr="00921B30">
        <w:trPr>
          <w:trHeight w:val="259"/>
        </w:trPr>
        <w:tc>
          <w:tcPr>
            <w:tcW w:w="2268" w:type="dxa"/>
            <w:tcBorders>
              <w:right w:val="single" w:sz="4" w:space="0" w:color="000000"/>
            </w:tcBorders>
          </w:tcPr>
          <w:p w14:paraId="6FA52C0C" w14:textId="77777777" w:rsidR="00921B30" w:rsidRDefault="00921B30" w:rsidP="00DD78C3">
            <w:pPr>
              <w:rPr>
                <w:rFonts w:ascii="Calibri" w:eastAsia="Calibri" w:hAnsi="Calibri" w:cs="Calibri"/>
              </w:rPr>
            </w:pPr>
          </w:p>
        </w:tc>
        <w:tc>
          <w:tcPr>
            <w:tcW w:w="6352" w:type="dxa"/>
            <w:tcBorders>
              <w:left w:val="single" w:sz="4" w:space="0" w:color="000000"/>
            </w:tcBorders>
          </w:tcPr>
          <w:p w14:paraId="2E97B8C1" w14:textId="77777777" w:rsidR="00921B30" w:rsidRDefault="00921B30" w:rsidP="00DD78C3">
            <w:pPr>
              <w:jc w:val="both"/>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tc>
      </w:tr>
      <w:tr w:rsidR="00921B30" w14:paraId="1F5F7968" w14:textId="77777777" w:rsidTr="00921B30">
        <w:trPr>
          <w:trHeight w:val="259"/>
        </w:trPr>
        <w:tc>
          <w:tcPr>
            <w:tcW w:w="2268" w:type="dxa"/>
            <w:tcBorders>
              <w:right w:val="single" w:sz="4" w:space="0" w:color="000000"/>
            </w:tcBorders>
          </w:tcPr>
          <w:p w14:paraId="097A0F03" w14:textId="77777777" w:rsidR="00921B30" w:rsidRDefault="00921B30" w:rsidP="00DD78C3">
            <w:pPr>
              <w:rPr>
                <w:rFonts w:ascii="Calibri" w:eastAsia="Calibri" w:hAnsi="Calibri" w:cs="Calibri"/>
              </w:rPr>
            </w:pPr>
          </w:p>
        </w:tc>
        <w:tc>
          <w:tcPr>
            <w:tcW w:w="6352" w:type="dxa"/>
            <w:tcBorders>
              <w:left w:val="single" w:sz="4" w:space="0" w:color="000000"/>
            </w:tcBorders>
          </w:tcPr>
          <w:p w14:paraId="2A9E8BA1" w14:textId="77777777" w:rsidR="00921B30" w:rsidRDefault="00921B30" w:rsidP="00DD78C3">
            <w:pPr>
              <w:jc w:val="both"/>
              <w:rPr>
                <w:rFonts w:ascii="Calibri" w:eastAsia="Calibri" w:hAnsi="Calibri" w:cs="Calibri"/>
                <w:color w:val="999999"/>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tc>
      </w:tr>
    </w:tbl>
    <w:p w14:paraId="6F208653" w14:textId="77777777" w:rsidR="00106F4C" w:rsidRDefault="00106F4C"/>
    <w:p w14:paraId="0E1F63A4" w14:textId="77777777" w:rsidR="00921B30" w:rsidRDefault="00921B30"/>
    <w:p w14:paraId="4BEB2A2A" w14:textId="77777777" w:rsidR="00921B30" w:rsidRDefault="00921B30">
      <w:pPr>
        <w:sectPr w:rsidR="00921B30" w:rsidSect="00921B30">
          <w:headerReference w:type="default" r:id="rId10"/>
          <w:footerReference w:type="even" r:id="rId11"/>
          <w:footerReference w:type="default" r:id="rId12"/>
          <w:pgSz w:w="11906" w:h="16838"/>
          <w:pgMar w:top="1440" w:right="1440" w:bottom="1440" w:left="1440" w:header="708" w:footer="708" w:gutter="0"/>
          <w:cols w:space="708"/>
          <w:docGrid w:linePitch="360"/>
        </w:sectPr>
      </w:pPr>
    </w:p>
    <w:p w14:paraId="2D1BCC79" w14:textId="77777777" w:rsidR="00BD2DF5" w:rsidRPr="00650877" w:rsidRDefault="00BD2DF5" w:rsidP="00BD2DF5">
      <w:pPr>
        <w:rPr>
          <w:b/>
          <w:bCs/>
          <w:sz w:val="24"/>
        </w:rPr>
      </w:pPr>
      <w:r>
        <w:rPr>
          <w:b/>
          <w:bCs/>
          <w:sz w:val="24"/>
        </w:rPr>
        <w:lastRenderedPageBreak/>
        <w:t>Spinal cord injury or peripheral nerve injury following</w:t>
      </w:r>
      <w:r w:rsidRPr="00650877">
        <w:rPr>
          <w:b/>
          <w:bCs/>
          <w:sz w:val="24"/>
        </w:rPr>
        <w:t xml:space="preserve"> general anaesthesia</w:t>
      </w:r>
      <w:r>
        <w:rPr>
          <w:b/>
          <w:bCs/>
          <w:sz w:val="24"/>
        </w:rPr>
        <w:t xml:space="preserve">, monitored anaesthesia care or </w:t>
      </w:r>
      <w:r w:rsidRPr="00650877">
        <w:rPr>
          <w:b/>
          <w:bCs/>
          <w:sz w:val="24"/>
        </w:rPr>
        <w:t>sedation</w:t>
      </w:r>
      <w:r>
        <w:rPr>
          <w:b/>
          <w:bCs/>
          <w:sz w:val="24"/>
        </w:rPr>
        <w:t xml:space="preserve"> and unrelated to regional anaesthesia</w:t>
      </w:r>
    </w:p>
    <w:p w14:paraId="1E7FFED9" w14:textId="77777777" w:rsidR="00BD2DF5" w:rsidRDefault="00BD2DF5" w:rsidP="00BD2DF5"/>
    <w:p w14:paraId="2F6089D9" w14:textId="77777777" w:rsidR="00BD2DF5" w:rsidRPr="00650877" w:rsidRDefault="00BD2DF5" w:rsidP="00BD2DF5">
      <w:pPr>
        <w:rPr>
          <w:szCs w:val="22"/>
        </w:rPr>
      </w:pPr>
      <w:r w:rsidRPr="00650877">
        <w:rPr>
          <w:szCs w:val="22"/>
        </w:rPr>
        <w:t xml:space="preserve">Listed below are </w:t>
      </w:r>
      <w:r>
        <w:rPr>
          <w:szCs w:val="22"/>
        </w:rPr>
        <w:t>definitions of s</w:t>
      </w:r>
      <w:r w:rsidRPr="00650877">
        <w:rPr>
          <w:szCs w:val="22"/>
        </w:rPr>
        <w:t>pinal cord injury or peripheral nerve injury unrelated to regional anaesthesia which are to be reported during the NAP8 case registry phase. If unsure about any case</w:t>
      </w:r>
      <w:r>
        <w:rPr>
          <w:szCs w:val="22"/>
        </w:rPr>
        <w:t>,</w:t>
      </w:r>
      <w:r w:rsidRPr="00650877">
        <w:rPr>
          <w:szCs w:val="22"/>
        </w:rPr>
        <w:t xml:space="preserve"> </w:t>
      </w:r>
      <w:r>
        <w:rPr>
          <w:szCs w:val="22"/>
        </w:rPr>
        <w:t xml:space="preserve">either on or </w:t>
      </w:r>
      <w:r w:rsidRPr="00650877">
        <w:rPr>
          <w:szCs w:val="22"/>
        </w:rPr>
        <w:t>not on the list below</w:t>
      </w:r>
      <w:r>
        <w:rPr>
          <w:szCs w:val="22"/>
        </w:rPr>
        <w:t>,</w:t>
      </w:r>
      <w:r w:rsidRPr="00650877">
        <w:rPr>
          <w:szCs w:val="22"/>
        </w:rPr>
        <w:t xml:space="preserve"> please discuss with the moderator (nap@rcoa.ac.uk). </w:t>
      </w:r>
    </w:p>
    <w:p w14:paraId="25951A75" w14:textId="77777777" w:rsidR="00BD2DF5" w:rsidRPr="00650877" w:rsidRDefault="00BD2DF5" w:rsidP="00BD2DF5">
      <w:pPr>
        <w:rPr>
          <w:szCs w:val="22"/>
        </w:rPr>
      </w:pPr>
    </w:p>
    <w:p w14:paraId="6424BF10" w14:textId="77777777" w:rsidR="00BD2DF5" w:rsidRPr="00650877" w:rsidRDefault="00BD2DF5" w:rsidP="00BD2DF5">
      <w:pPr>
        <w:rPr>
          <w:szCs w:val="22"/>
        </w:rPr>
      </w:pPr>
      <w:r>
        <w:rPr>
          <w:szCs w:val="22"/>
        </w:rPr>
        <w:t>For the complications below that occur during</w:t>
      </w:r>
      <w:r w:rsidRPr="00650877">
        <w:rPr>
          <w:szCs w:val="22"/>
        </w:rPr>
        <w:t xml:space="preserve"> the registry phase:</w:t>
      </w:r>
    </w:p>
    <w:p w14:paraId="70C2AA5E" w14:textId="77777777" w:rsidR="00BD2DF5" w:rsidRPr="00650877" w:rsidRDefault="00BD2DF5" w:rsidP="00BD2DF5">
      <w:pPr>
        <w:rPr>
          <w:szCs w:val="22"/>
        </w:rPr>
      </w:pPr>
    </w:p>
    <w:p w14:paraId="770EC504" w14:textId="77777777" w:rsidR="00BD2DF5" w:rsidRPr="00650877" w:rsidRDefault="00BD2DF5" w:rsidP="00BD2DF5">
      <w:pPr>
        <w:pStyle w:val="ListParagraph"/>
        <w:numPr>
          <w:ilvl w:val="0"/>
          <w:numId w:val="21"/>
        </w:numPr>
        <w:rPr>
          <w:b/>
          <w:bCs/>
          <w:szCs w:val="22"/>
        </w:rPr>
      </w:pPr>
      <w:r w:rsidRPr="00650877">
        <w:rPr>
          <w:b/>
          <w:bCs/>
          <w:szCs w:val="22"/>
        </w:rPr>
        <w:t>The patient must be under the care of an anaesthetist</w:t>
      </w:r>
    </w:p>
    <w:p w14:paraId="0CA927D0" w14:textId="77777777" w:rsidR="00BD2DF5" w:rsidRPr="00650877" w:rsidRDefault="00BD2DF5" w:rsidP="00BD2DF5">
      <w:pPr>
        <w:pStyle w:val="ListParagraph"/>
        <w:numPr>
          <w:ilvl w:val="0"/>
          <w:numId w:val="21"/>
        </w:numPr>
        <w:rPr>
          <w:b/>
          <w:bCs/>
          <w:szCs w:val="22"/>
        </w:rPr>
      </w:pPr>
      <w:r>
        <w:rPr>
          <w:b/>
          <w:bCs/>
          <w:szCs w:val="22"/>
        </w:rPr>
        <w:t xml:space="preserve">If the patient has had </w:t>
      </w:r>
      <w:r w:rsidRPr="00650877">
        <w:rPr>
          <w:b/>
          <w:bCs/>
          <w:szCs w:val="22"/>
        </w:rPr>
        <w:t>either a central neuraxial block (epidural, caudal, spinal)</w:t>
      </w:r>
      <w:r>
        <w:rPr>
          <w:b/>
          <w:bCs/>
          <w:szCs w:val="22"/>
        </w:rPr>
        <w:t xml:space="preserve"> or</w:t>
      </w:r>
      <w:r w:rsidRPr="00650877">
        <w:rPr>
          <w:b/>
          <w:bCs/>
          <w:szCs w:val="22"/>
        </w:rPr>
        <w:t xml:space="preserve"> a peripheral nerve block</w:t>
      </w:r>
      <w:r>
        <w:rPr>
          <w:b/>
          <w:bCs/>
          <w:szCs w:val="22"/>
        </w:rPr>
        <w:t>,</w:t>
      </w:r>
      <w:r w:rsidRPr="00650877">
        <w:rPr>
          <w:b/>
          <w:bCs/>
          <w:szCs w:val="22"/>
        </w:rPr>
        <w:t xml:space="preserve"> </w:t>
      </w:r>
      <w:r>
        <w:rPr>
          <w:b/>
          <w:bCs/>
          <w:szCs w:val="22"/>
        </w:rPr>
        <w:t>do NOT report here but please see the relevant regional anaesthesia definitions document and if appropriate report in the relevant section of the case registry</w:t>
      </w:r>
    </w:p>
    <w:p w14:paraId="506905B1" w14:textId="77777777" w:rsidR="00BD2DF5" w:rsidRPr="00650877" w:rsidRDefault="00BD2DF5" w:rsidP="00BD2DF5">
      <w:pPr>
        <w:pStyle w:val="ListParagraph"/>
        <w:numPr>
          <w:ilvl w:val="0"/>
          <w:numId w:val="21"/>
        </w:numPr>
        <w:rPr>
          <w:b/>
          <w:bCs/>
          <w:szCs w:val="22"/>
        </w:rPr>
      </w:pPr>
      <w:r>
        <w:rPr>
          <w:b/>
          <w:bCs/>
          <w:szCs w:val="22"/>
        </w:rPr>
        <w:t>P</w:t>
      </w:r>
      <w:r w:rsidRPr="00650877">
        <w:rPr>
          <w:b/>
          <w:bCs/>
          <w:szCs w:val="22"/>
        </w:rPr>
        <w:t xml:space="preserve">lease report all complications listed below irrespective of the level of harm that occurred to the patient. The NAP8 team will classify level of harm using the information provided during the case registry report. </w:t>
      </w:r>
    </w:p>
    <w:p w14:paraId="680C3ACE" w14:textId="77777777" w:rsidR="00BD2DF5" w:rsidRPr="00650877" w:rsidRDefault="00BD2DF5" w:rsidP="00BD2DF5">
      <w:pPr>
        <w:pStyle w:val="ListParagraph"/>
        <w:numPr>
          <w:ilvl w:val="1"/>
          <w:numId w:val="21"/>
        </w:numPr>
        <w:rPr>
          <w:b/>
          <w:bCs/>
          <w:szCs w:val="22"/>
        </w:rPr>
      </w:pPr>
      <w:r w:rsidRPr="00650877">
        <w:rPr>
          <w:b/>
          <w:bCs/>
          <w:szCs w:val="22"/>
        </w:rPr>
        <w:t>If the complication presents during the case registry phase but the original procedure was prior to the start of the case registry phase, PLEASE REPORT.</w:t>
      </w:r>
    </w:p>
    <w:p w14:paraId="3838D311" w14:textId="77777777" w:rsidR="00BD2DF5" w:rsidRPr="00650877" w:rsidRDefault="00BD2DF5" w:rsidP="00BD2DF5">
      <w:pPr>
        <w:pStyle w:val="ListParagraph"/>
        <w:numPr>
          <w:ilvl w:val="1"/>
          <w:numId w:val="21"/>
        </w:numPr>
        <w:rPr>
          <w:b/>
          <w:bCs/>
          <w:szCs w:val="22"/>
        </w:rPr>
      </w:pPr>
      <w:r w:rsidRPr="00650877">
        <w:rPr>
          <w:b/>
          <w:bCs/>
          <w:szCs w:val="22"/>
        </w:rPr>
        <w:t xml:space="preserve">If the procedure takes place during the registry phase but the complication occurs or presents after the end of the case registry phase, DO NOT report. </w:t>
      </w:r>
    </w:p>
    <w:p w14:paraId="77061208" w14:textId="77777777" w:rsidR="00BD2DF5" w:rsidRPr="00650877" w:rsidRDefault="00BD2DF5" w:rsidP="00BD2DF5">
      <w:pPr>
        <w:pStyle w:val="ListParagraph"/>
        <w:numPr>
          <w:ilvl w:val="0"/>
          <w:numId w:val="21"/>
        </w:numPr>
        <w:rPr>
          <w:b/>
          <w:bCs/>
          <w:i/>
          <w:iCs/>
          <w:szCs w:val="22"/>
        </w:rPr>
      </w:pPr>
      <w:r w:rsidRPr="00650877">
        <w:rPr>
          <w:b/>
          <w:bCs/>
          <w:i/>
          <w:iCs/>
          <w:szCs w:val="22"/>
        </w:rPr>
        <w:t>If in any doubt report</w:t>
      </w:r>
    </w:p>
    <w:p w14:paraId="3EEEBB76" w14:textId="77777777" w:rsidR="00BD2DF5" w:rsidRDefault="00BD2DF5" w:rsidP="00BD2DF5"/>
    <w:p w14:paraId="679A6FC3" w14:textId="77777777" w:rsidR="00BD2DF5" w:rsidRDefault="00BD2DF5" w:rsidP="00BD2DF5"/>
    <w:tbl>
      <w:tblPr>
        <w:tblStyle w:val="TableGrid"/>
        <w:tblW w:w="14029" w:type="dxa"/>
        <w:tblLook w:val="04A0" w:firstRow="1" w:lastRow="0" w:firstColumn="1" w:lastColumn="0" w:noHBand="0" w:noVBand="1"/>
      </w:tblPr>
      <w:tblGrid>
        <w:gridCol w:w="2405"/>
        <w:gridCol w:w="4820"/>
        <w:gridCol w:w="3685"/>
        <w:gridCol w:w="3119"/>
      </w:tblGrid>
      <w:tr w:rsidR="00BD2DF5" w14:paraId="0EF3FF7E" w14:textId="77777777" w:rsidTr="0077143F">
        <w:trPr>
          <w:trHeight w:val="300"/>
        </w:trPr>
        <w:tc>
          <w:tcPr>
            <w:tcW w:w="2405" w:type="dxa"/>
            <w:shd w:val="clear" w:color="auto" w:fill="BFBFBF" w:themeFill="background1" w:themeFillShade="BF"/>
          </w:tcPr>
          <w:p w14:paraId="2ABE7A23" w14:textId="77777777" w:rsidR="00BD2DF5" w:rsidRPr="00162AA9" w:rsidRDefault="00BD2DF5" w:rsidP="0077143F">
            <w:pPr>
              <w:rPr>
                <w:b/>
                <w:bCs/>
                <w:sz w:val="20"/>
                <w:szCs w:val="20"/>
              </w:rPr>
            </w:pPr>
            <w:r w:rsidRPr="00162AA9">
              <w:rPr>
                <w:b/>
                <w:bCs/>
                <w:sz w:val="20"/>
                <w:szCs w:val="20"/>
              </w:rPr>
              <w:t>Complication</w:t>
            </w:r>
          </w:p>
        </w:tc>
        <w:tc>
          <w:tcPr>
            <w:tcW w:w="4820" w:type="dxa"/>
            <w:shd w:val="clear" w:color="auto" w:fill="BFBFBF" w:themeFill="background1" w:themeFillShade="BF"/>
          </w:tcPr>
          <w:p w14:paraId="68605293" w14:textId="77777777" w:rsidR="00BD2DF5" w:rsidRPr="00162AA9" w:rsidRDefault="00BD2DF5" w:rsidP="0077143F">
            <w:pPr>
              <w:rPr>
                <w:b/>
                <w:bCs/>
                <w:sz w:val="20"/>
                <w:szCs w:val="20"/>
              </w:rPr>
            </w:pPr>
            <w:r w:rsidRPr="00162AA9">
              <w:rPr>
                <w:b/>
                <w:bCs/>
                <w:sz w:val="20"/>
                <w:szCs w:val="20"/>
              </w:rPr>
              <w:t xml:space="preserve">Inclusion criteria </w:t>
            </w:r>
            <w:r w:rsidRPr="00162AA9">
              <w:rPr>
                <w:sz w:val="20"/>
                <w:szCs w:val="20"/>
              </w:rPr>
              <w:t>(must be met to trigger central reporting by LCs)</w:t>
            </w:r>
          </w:p>
        </w:tc>
        <w:tc>
          <w:tcPr>
            <w:tcW w:w="3685" w:type="dxa"/>
            <w:shd w:val="clear" w:color="auto" w:fill="BFBFBF" w:themeFill="background1" w:themeFillShade="BF"/>
          </w:tcPr>
          <w:p w14:paraId="524CC4A4" w14:textId="77777777" w:rsidR="00BD2DF5" w:rsidRPr="00162AA9" w:rsidRDefault="00BD2DF5" w:rsidP="0077143F">
            <w:pPr>
              <w:rPr>
                <w:b/>
                <w:bCs/>
                <w:sz w:val="20"/>
                <w:szCs w:val="20"/>
              </w:rPr>
            </w:pPr>
            <w:r w:rsidRPr="00162AA9">
              <w:rPr>
                <w:b/>
                <w:bCs/>
                <w:sz w:val="20"/>
                <w:szCs w:val="20"/>
              </w:rPr>
              <w:t>Exclusions</w:t>
            </w:r>
          </w:p>
        </w:tc>
        <w:tc>
          <w:tcPr>
            <w:tcW w:w="3119" w:type="dxa"/>
            <w:shd w:val="clear" w:color="auto" w:fill="BFBFBF" w:themeFill="background1" w:themeFillShade="BF"/>
          </w:tcPr>
          <w:p w14:paraId="6620AF5A" w14:textId="77777777" w:rsidR="00BD2DF5" w:rsidRPr="00162AA9" w:rsidRDefault="00BD2DF5" w:rsidP="0077143F">
            <w:pPr>
              <w:rPr>
                <w:b/>
                <w:bCs/>
                <w:sz w:val="20"/>
                <w:szCs w:val="20"/>
              </w:rPr>
            </w:pPr>
            <w:r w:rsidRPr="00162AA9">
              <w:rPr>
                <w:b/>
                <w:bCs/>
                <w:sz w:val="20"/>
                <w:szCs w:val="20"/>
              </w:rPr>
              <w:t>Comments</w:t>
            </w:r>
          </w:p>
        </w:tc>
      </w:tr>
      <w:tr w:rsidR="00BD2DF5" w14:paraId="0D31BD22" w14:textId="77777777" w:rsidTr="0077143F">
        <w:trPr>
          <w:trHeight w:val="300"/>
        </w:trPr>
        <w:tc>
          <w:tcPr>
            <w:tcW w:w="2405" w:type="dxa"/>
          </w:tcPr>
          <w:p w14:paraId="419D388D" w14:textId="77777777" w:rsidR="00BD2DF5" w:rsidRDefault="00BD2DF5" w:rsidP="0077143F">
            <w:pPr>
              <w:rPr>
                <w:color w:val="212121"/>
                <w:szCs w:val="22"/>
              </w:rPr>
            </w:pPr>
            <w:r w:rsidRPr="00C5255D">
              <w:rPr>
                <w:color w:val="212121"/>
                <w:szCs w:val="22"/>
              </w:rPr>
              <w:t>Spinal cord injury</w:t>
            </w:r>
          </w:p>
          <w:p w14:paraId="478F4068" w14:textId="77777777" w:rsidR="00BD2DF5" w:rsidRPr="007A48FC" w:rsidRDefault="00BD2DF5" w:rsidP="0077143F">
            <w:pPr>
              <w:rPr>
                <w:szCs w:val="22"/>
              </w:rPr>
            </w:pPr>
          </w:p>
          <w:p w14:paraId="5DA69EAF" w14:textId="77777777" w:rsidR="00BD2DF5" w:rsidRPr="007A48FC" w:rsidRDefault="00BD2DF5" w:rsidP="0077143F">
            <w:pPr>
              <w:rPr>
                <w:szCs w:val="22"/>
              </w:rPr>
            </w:pPr>
          </w:p>
          <w:p w14:paraId="5C2295A9" w14:textId="77777777" w:rsidR="00BD2DF5" w:rsidRPr="007A48FC" w:rsidRDefault="00BD2DF5" w:rsidP="0077143F">
            <w:pPr>
              <w:rPr>
                <w:szCs w:val="22"/>
              </w:rPr>
            </w:pPr>
          </w:p>
          <w:p w14:paraId="35D4586D" w14:textId="77777777" w:rsidR="00BD2DF5" w:rsidRPr="007A48FC" w:rsidRDefault="00BD2DF5" w:rsidP="0077143F">
            <w:pPr>
              <w:rPr>
                <w:szCs w:val="22"/>
              </w:rPr>
            </w:pPr>
          </w:p>
          <w:p w14:paraId="2E5113E2" w14:textId="77777777" w:rsidR="00BD2DF5" w:rsidRPr="007A48FC" w:rsidRDefault="00BD2DF5" w:rsidP="0077143F">
            <w:pPr>
              <w:rPr>
                <w:szCs w:val="22"/>
              </w:rPr>
            </w:pPr>
          </w:p>
          <w:p w14:paraId="7774871C" w14:textId="77777777" w:rsidR="00BD2DF5" w:rsidRPr="007A48FC" w:rsidRDefault="00BD2DF5" w:rsidP="0077143F">
            <w:pPr>
              <w:rPr>
                <w:szCs w:val="22"/>
              </w:rPr>
            </w:pPr>
          </w:p>
          <w:p w14:paraId="4C703E59" w14:textId="77777777" w:rsidR="00BD2DF5" w:rsidRPr="007A48FC" w:rsidRDefault="00BD2DF5" w:rsidP="0077143F">
            <w:pPr>
              <w:rPr>
                <w:szCs w:val="22"/>
              </w:rPr>
            </w:pPr>
          </w:p>
          <w:p w14:paraId="0914BBDF" w14:textId="77777777" w:rsidR="00BD2DF5" w:rsidRPr="007A48FC" w:rsidRDefault="00BD2DF5" w:rsidP="0077143F">
            <w:pPr>
              <w:rPr>
                <w:szCs w:val="22"/>
              </w:rPr>
            </w:pPr>
          </w:p>
          <w:p w14:paraId="7B77FDD3" w14:textId="77777777" w:rsidR="00BD2DF5" w:rsidRPr="007A48FC" w:rsidRDefault="00BD2DF5" w:rsidP="0077143F">
            <w:pPr>
              <w:rPr>
                <w:szCs w:val="22"/>
              </w:rPr>
            </w:pPr>
          </w:p>
          <w:p w14:paraId="4551811C" w14:textId="77777777" w:rsidR="00BD2DF5" w:rsidRPr="007A48FC" w:rsidRDefault="00BD2DF5" w:rsidP="0077143F">
            <w:pPr>
              <w:rPr>
                <w:szCs w:val="22"/>
              </w:rPr>
            </w:pPr>
          </w:p>
          <w:p w14:paraId="62D2F9F1" w14:textId="77777777" w:rsidR="00BD2DF5" w:rsidRPr="007A48FC" w:rsidRDefault="00BD2DF5" w:rsidP="0077143F">
            <w:pPr>
              <w:rPr>
                <w:szCs w:val="22"/>
              </w:rPr>
            </w:pPr>
          </w:p>
          <w:p w14:paraId="52CB8C89" w14:textId="77777777" w:rsidR="00BD2DF5" w:rsidRPr="007A48FC" w:rsidRDefault="00BD2DF5" w:rsidP="0077143F">
            <w:pPr>
              <w:rPr>
                <w:szCs w:val="22"/>
              </w:rPr>
            </w:pPr>
          </w:p>
          <w:p w14:paraId="65DB3284" w14:textId="77777777" w:rsidR="00BD2DF5" w:rsidRPr="007A48FC" w:rsidRDefault="00BD2DF5" w:rsidP="0077143F">
            <w:pPr>
              <w:rPr>
                <w:szCs w:val="22"/>
              </w:rPr>
            </w:pPr>
          </w:p>
        </w:tc>
        <w:tc>
          <w:tcPr>
            <w:tcW w:w="4820" w:type="dxa"/>
          </w:tcPr>
          <w:p w14:paraId="252DEE7C" w14:textId="77777777" w:rsidR="00BD2DF5" w:rsidRPr="00C5255D" w:rsidRDefault="00BD2DF5" w:rsidP="0077143F">
            <w:pPr>
              <w:rPr>
                <w:color w:val="000000" w:themeColor="text1"/>
                <w:sz w:val="20"/>
                <w:szCs w:val="20"/>
              </w:rPr>
            </w:pPr>
            <w:r w:rsidRPr="00C5255D">
              <w:rPr>
                <w:color w:val="000000" w:themeColor="text1"/>
                <w:sz w:val="20"/>
                <w:szCs w:val="20"/>
              </w:rPr>
              <w:lastRenderedPageBreak/>
              <w:t xml:space="preserve">Clinical signs and/or symptoms consistent with unintended or unexpected, new spinal cord injury at any level whether temporary or permanent </w:t>
            </w:r>
          </w:p>
          <w:p w14:paraId="6E22E08A" w14:textId="77777777" w:rsidR="00BD2DF5" w:rsidRPr="00C5255D" w:rsidRDefault="00BD2DF5" w:rsidP="0077143F">
            <w:pPr>
              <w:rPr>
                <w:color w:val="000000" w:themeColor="text1"/>
                <w:sz w:val="20"/>
                <w:szCs w:val="20"/>
              </w:rPr>
            </w:pPr>
          </w:p>
          <w:p w14:paraId="4B0CF1A3" w14:textId="77777777" w:rsidR="00BD2DF5" w:rsidRPr="00C5255D" w:rsidRDefault="00BD2DF5" w:rsidP="0077143F">
            <w:pPr>
              <w:rPr>
                <w:b/>
                <w:bCs/>
                <w:color w:val="000000" w:themeColor="text1"/>
                <w:sz w:val="20"/>
                <w:szCs w:val="20"/>
              </w:rPr>
            </w:pPr>
            <w:r w:rsidRPr="00C5255D">
              <w:rPr>
                <w:b/>
                <w:bCs/>
                <w:color w:val="000000" w:themeColor="text1"/>
                <w:sz w:val="20"/>
                <w:szCs w:val="20"/>
              </w:rPr>
              <w:t xml:space="preserve">AND </w:t>
            </w:r>
          </w:p>
          <w:p w14:paraId="4A9EDC72" w14:textId="77777777" w:rsidR="00BD2DF5" w:rsidRPr="00C5255D" w:rsidRDefault="00BD2DF5" w:rsidP="0077143F">
            <w:pPr>
              <w:rPr>
                <w:color w:val="000000" w:themeColor="text1"/>
                <w:sz w:val="20"/>
                <w:szCs w:val="20"/>
              </w:rPr>
            </w:pPr>
          </w:p>
          <w:p w14:paraId="4B7BE046" w14:textId="77777777" w:rsidR="00BD2DF5" w:rsidRPr="00C5255D" w:rsidRDefault="00BD2DF5" w:rsidP="0077143F">
            <w:pPr>
              <w:rPr>
                <w:color w:val="000000" w:themeColor="text1"/>
                <w:sz w:val="20"/>
                <w:szCs w:val="20"/>
              </w:rPr>
            </w:pPr>
            <w:r w:rsidRPr="00C5255D">
              <w:rPr>
                <w:color w:val="000000" w:themeColor="text1"/>
                <w:sz w:val="20"/>
                <w:szCs w:val="20"/>
              </w:rPr>
              <w:t xml:space="preserve">Supported by radiological </w:t>
            </w:r>
            <w:r w:rsidRPr="00C5255D">
              <w:rPr>
                <w:b/>
                <w:bCs/>
                <w:color w:val="000000" w:themeColor="text1"/>
                <w:sz w:val="20"/>
                <w:szCs w:val="20"/>
              </w:rPr>
              <w:t>and/or</w:t>
            </w:r>
            <w:r w:rsidRPr="00C5255D">
              <w:rPr>
                <w:color w:val="000000" w:themeColor="text1"/>
                <w:sz w:val="20"/>
                <w:szCs w:val="20"/>
              </w:rPr>
              <w:t xml:space="preserve"> neurophysiological investigations </w:t>
            </w:r>
            <w:r w:rsidRPr="00C5255D">
              <w:rPr>
                <w:b/>
                <w:bCs/>
                <w:color w:val="000000" w:themeColor="text1"/>
                <w:sz w:val="20"/>
                <w:szCs w:val="20"/>
              </w:rPr>
              <w:t>and/or</w:t>
            </w:r>
            <w:r w:rsidRPr="00C5255D">
              <w:rPr>
                <w:color w:val="000000" w:themeColor="text1"/>
                <w:sz w:val="20"/>
                <w:szCs w:val="20"/>
              </w:rPr>
              <w:t xml:space="preserve"> clinical intervention e.g. surgical decompression, evacuation of haematoma, </w:t>
            </w:r>
            <w:r>
              <w:rPr>
                <w:color w:val="000000" w:themeColor="text1"/>
                <w:sz w:val="20"/>
                <w:szCs w:val="20"/>
              </w:rPr>
              <w:t xml:space="preserve">CSF diversion (lumbar/spinal drain and/or CSF drainage) </w:t>
            </w:r>
            <w:r w:rsidRPr="00C5255D">
              <w:rPr>
                <w:color w:val="000000" w:themeColor="text1"/>
                <w:sz w:val="20"/>
                <w:szCs w:val="20"/>
              </w:rPr>
              <w:t>based on clinical judgement</w:t>
            </w:r>
          </w:p>
          <w:p w14:paraId="6A57B59E" w14:textId="77777777" w:rsidR="00BD2DF5" w:rsidRPr="00C5255D" w:rsidRDefault="00BD2DF5" w:rsidP="0077143F">
            <w:pPr>
              <w:rPr>
                <w:color w:val="000000" w:themeColor="text1"/>
                <w:sz w:val="20"/>
                <w:szCs w:val="20"/>
              </w:rPr>
            </w:pPr>
          </w:p>
          <w:p w14:paraId="41DF6695" w14:textId="77777777" w:rsidR="00BD2DF5" w:rsidRPr="00C5255D" w:rsidRDefault="00BD2DF5" w:rsidP="0077143F">
            <w:pPr>
              <w:rPr>
                <w:color w:val="000000" w:themeColor="text1"/>
                <w:sz w:val="20"/>
                <w:szCs w:val="20"/>
              </w:rPr>
            </w:pPr>
          </w:p>
        </w:tc>
        <w:tc>
          <w:tcPr>
            <w:tcW w:w="3685" w:type="dxa"/>
          </w:tcPr>
          <w:p w14:paraId="326F4975" w14:textId="77777777" w:rsidR="00BD2DF5" w:rsidRPr="00C5255D" w:rsidRDefault="00BD2DF5" w:rsidP="0077143F">
            <w:pPr>
              <w:rPr>
                <w:color w:val="000000" w:themeColor="text1"/>
                <w:sz w:val="20"/>
                <w:szCs w:val="20"/>
              </w:rPr>
            </w:pPr>
            <w:r w:rsidRPr="00C5255D">
              <w:rPr>
                <w:color w:val="000000" w:themeColor="text1"/>
                <w:sz w:val="20"/>
                <w:szCs w:val="20"/>
              </w:rPr>
              <w:lastRenderedPageBreak/>
              <w:t xml:space="preserve">Injury directly related to surgical manipulation during spinal surgery </w:t>
            </w:r>
          </w:p>
          <w:p w14:paraId="7261D37C" w14:textId="77777777" w:rsidR="00BD2DF5" w:rsidRPr="00C5255D" w:rsidRDefault="00BD2DF5" w:rsidP="0077143F">
            <w:pPr>
              <w:rPr>
                <w:color w:val="000000" w:themeColor="text1"/>
                <w:sz w:val="20"/>
                <w:szCs w:val="20"/>
              </w:rPr>
            </w:pPr>
          </w:p>
          <w:p w14:paraId="2DFB2EEA" w14:textId="77777777" w:rsidR="00BD2DF5" w:rsidRPr="00C5255D" w:rsidRDefault="00BD2DF5" w:rsidP="0077143F">
            <w:pPr>
              <w:rPr>
                <w:b/>
                <w:bCs/>
                <w:color w:val="000000" w:themeColor="text1"/>
                <w:sz w:val="20"/>
                <w:szCs w:val="20"/>
              </w:rPr>
            </w:pPr>
            <w:r w:rsidRPr="00C5255D">
              <w:rPr>
                <w:b/>
                <w:bCs/>
                <w:color w:val="000000" w:themeColor="text1"/>
                <w:sz w:val="20"/>
                <w:szCs w:val="20"/>
              </w:rPr>
              <w:t>OR</w:t>
            </w:r>
          </w:p>
          <w:p w14:paraId="18438C05" w14:textId="77777777" w:rsidR="00BD2DF5" w:rsidRPr="00C5255D" w:rsidRDefault="00BD2DF5" w:rsidP="0077143F">
            <w:pPr>
              <w:rPr>
                <w:color w:val="000000" w:themeColor="text1"/>
                <w:sz w:val="20"/>
                <w:szCs w:val="20"/>
              </w:rPr>
            </w:pPr>
          </w:p>
          <w:p w14:paraId="725F5A74" w14:textId="77777777" w:rsidR="00BD2DF5" w:rsidRPr="00C5255D" w:rsidRDefault="00BD2DF5" w:rsidP="0077143F">
            <w:pPr>
              <w:rPr>
                <w:color w:val="000000" w:themeColor="text1"/>
                <w:sz w:val="20"/>
                <w:szCs w:val="20"/>
              </w:rPr>
            </w:pPr>
            <w:r w:rsidRPr="00C5255D">
              <w:rPr>
                <w:color w:val="000000" w:themeColor="text1"/>
                <w:sz w:val="20"/>
                <w:szCs w:val="20"/>
              </w:rPr>
              <w:t>Any injury consistent with direct surgical cord injury</w:t>
            </w:r>
          </w:p>
          <w:p w14:paraId="4F1E0EA6" w14:textId="77777777" w:rsidR="00BD2DF5" w:rsidRPr="00C5255D" w:rsidRDefault="00BD2DF5" w:rsidP="0077143F">
            <w:pPr>
              <w:rPr>
                <w:color w:val="000000" w:themeColor="text1"/>
                <w:sz w:val="20"/>
                <w:szCs w:val="20"/>
              </w:rPr>
            </w:pPr>
          </w:p>
          <w:p w14:paraId="4F24CF8B" w14:textId="77777777" w:rsidR="00BD2DF5" w:rsidRPr="00C5255D" w:rsidRDefault="00BD2DF5" w:rsidP="0077143F">
            <w:pPr>
              <w:rPr>
                <w:b/>
                <w:bCs/>
                <w:color w:val="000000" w:themeColor="text1"/>
                <w:sz w:val="20"/>
                <w:szCs w:val="20"/>
              </w:rPr>
            </w:pPr>
            <w:r w:rsidRPr="00C5255D">
              <w:rPr>
                <w:b/>
                <w:bCs/>
                <w:color w:val="000000" w:themeColor="text1"/>
                <w:sz w:val="20"/>
                <w:szCs w:val="20"/>
              </w:rPr>
              <w:t>OR</w:t>
            </w:r>
          </w:p>
          <w:p w14:paraId="523AEE26" w14:textId="77777777" w:rsidR="00BD2DF5" w:rsidRPr="00C5255D" w:rsidRDefault="00BD2DF5" w:rsidP="0077143F">
            <w:pPr>
              <w:rPr>
                <w:color w:val="000000" w:themeColor="text1"/>
                <w:sz w:val="20"/>
                <w:szCs w:val="20"/>
              </w:rPr>
            </w:pPr>
          </w:p>
          <w:p w14:paraId="39CEFBCD" w14:textId="77777777" w:rsidR="00BD2DF5" w:rsidRPr="00C5255D" w:rsidRDefault="00BD2DF5" w:rsidP="0077143F">
            <w:pPr>
              <w:rPr>
                <w:color w:val="000000" w:themeColor="text1"/>
                <w:sz w:val="20"/>
                <w:szCs w:val="20"/>
              </w:rPr>
            </w:pPr>
            <w:r w:rsidRPr="00C5255D">
              <w:rPr>
                <w:color w:val="000000" w:themeColor="text1"/>
                <w:sz w:val="20"/>
                <w:szCs w:val="20"/>
              </w:rPr>
              <w:t>Any isolated intracranial cause which explains symptoms/signs</w:t>
            </w:r>
          </w:p>
          <w:p w14:paraId="549EB2B3" w14:textId="77777777" w:rsidR="00BD2DF5" w:rsidRPr="00C5255D" w:rsidRDefault="00BD2DF5" w:rsidP="0077143F">
            <w:pPr>
              <w:rPr>
                <w:color w:val="000000" w:themeColor="text1"/>
                <w:sz w:val="20"/>
                <w:szCs w:val="20"/>
              </w:rPr>
            </w:pPr>
          </w:p>
          <w:p w14:paraId="673A64F3" w14:textId="77777777" w:rsidR="00BD2DF5" w:rsidRPr="00C5255D" w:rsidRDefault="00BD2DF5" w:rsidP="0077143F">
            <w:pPr>
              <w:rPr>
                <w:b/>
                <w:bCs/>
                <w:color w:val="000000" w:themeColor="text1"/>
                <w:sz w:val="20"/>
                <w:szCs w:val="20"/>
              </w:rPr>
            </w:pPr>
            <w:r w:rsidRPr="00C5255D">
              <w:rPr>
                <w:b/>
                <w:bCs/>
                <w:color w:val="000000" w:themeColor="text1"/>
                <w:sz w:val="20"/>
                <w:szCs w:val="20"/>
              </w:rPr>
              <w:lastRenderedPageBreak/>
              <w:t>OR</w:t>
            </w:r>
          </w:p>
          <w:p w14:paraId="463FBC02" w14:textId="77777777" w:rsidR="00BD2DF5" w:rsidRPr="00C5255D" w:rsidRDefault="00BD2DF5" w:rsidP="0077143F">
            <w:pPr>
              <w:rPr>
                <w:color w:val="000000" w:themeColor="text1"/>
                <w:sz w:val="20"/>
                <w:szCs w:val="20"/>
              </w:rPr>
            </w:pPr>
          </w:p>
          <w:p w14:paraId="161C6AA0" w14:textId="77777777" w:rsidR="00BD2DF5" w:rsidRPr="00C5255D" w:rsidRDefault="00BD2DF5" w:rsidP="0077143F">
            <w:pPr>
              <w:rPr>
                <w:color w:val="000000" w:themeColor="text1"/>
                <w:sz w:val="20"/>
                <w:szCs w:val="20"/>
              </w:rPr>
            </w:pPr>
            <w:r w:rsidRPr="00C5255D">
              <w:rPr>
                <w:color w:val="000000" w:themeColor="text1"/>
                <w:sz w:val="20"/>
                <w:szCs w:val="20"/>
              </w:rPr>
              <w:t xml:space="preserve">Any case where preoperative neurological status could not be reliably assessed, making confirmation of a new injury following anaesthesia uncertain e.g. patient </w:t>
            </w:r>
            <w:r w:rsidRPr="002F6F78">
              <w:rPr>
                <w:color w:val="000000" w:themeColor="text1"/>
                <w:sz w:val="20"/>
                <w:szCs w:val="20"/>
              </w:rPr>
              <w:t xml:space="preserve">required </w:t>
            </w:r>
            <w:r w:rsidRPr="00C5255D">
              <w:rPr>
                <w:color w:val="000000" w:themeColor="text1"/>
                <w:sz w:val="20"/>
                <w:szCs w:val="20"/>
              </w:rPr>
              <w:t>intubation of the trachea by pre-hospital team</w:t>
            </w:r>
          </w:p>
          <w:p w14:paraId="5B33440E" w14:textId="77777777" w:rsidR="00BD2DF5" w:rsidRPr="00C5255D" w:rsidRDefault="00BD2DF5" w:rsidP="0077143F">
            <w:pPr>
              <w:rPr>
                <w:color w:val="000000" w:themeColor="text1"/>
                <w:sz w:val="20"/>
                <w:szCs w:val="20"/>
              </w:rPr>
            </w:pPr>
          </w:p>
          <w:p w14:paraId="58C6B54F" w14:textId="77777777" w:rsidR="00BD2DF5" w:rsidRPr="00C5255D" w:rsidRDefault="00BD2DF5" w:rsidP="0077143F">
            <w:pPr>
              <w:rPr>
                <w:b/>
                <w:bCs/>
                <w:color w:val="000000" w:themeColor="text1"/>
                <w:sz w:val="20"/>
                <w:szCs w:val="20"/>
              </w:rPr>
            </w:pPr>
            <w:r w:rsidRPr="00C5255D">
              <w:rPr>
                <w:b/>
                <w:bCs/>
                <w:color w:val="000000" w:themeColor="text1"/>
                <w:sz w:val="20"/>
                <w:szCs w:val="20"/>
              </w:rPr>
              <w:t xml:space="preserve">OR </w:t>
            </w:r>
          </w:p>
          <w:p w14:paraId="5A268AF0" w14:textId="77777777" w:rsidR="00BD2DF5" w:rsidRPr="00C5255D" w:rsidRDefault="00BD2DF5" w:rsidP="0077143F">
            <w:pPr>
              <w:rPr>
                <w:color w:val="000000" w:themeColor="text1"/>
                <w:sz w:val="20"/>
                <w:szCs w:val="20"/>
              </w:rPr>
            </w:pPr>
          </w:p>
          <w:p w14:paraId="13AD00F7" w14:textId="77777777" w:rsidR="00BD2DF5" w:rsidRPr="00C5255D" w:rsidRDefault="00BD2DF5" w:rsidP="0077143F">
            <w:pPr>
              <w:rPr>
                <w:color w:val="000000" w:themeColor="text1"/>
                <w:sz w:val="20"/>
                <w:szCs w:val="20"/>
              </w:rPr>
            </w:pPr>
            <w:r w:rsidRPr="00C5255D">
              <w:rPr>
                <w:color w:val="000000" w:themeColor="text1"/>
                <w:sz w:val="20"/>
                <w:szCs w:val="20"/>
              </w:rPr>
              <w:t>Cause agreed by local multidisciplinary team, to be secondary to central neuraxial block (report under CNB complications)</w:t>
            </w:r>
          </w:p>
          <w:p w14:paraId="6F0ACD28" w14:textId="77777777" w:rsidR="00BD2DF5" w:rsidRPr="00C5255D" w:rsidRDefault="00BD2DF5" w:rsidP="0077143F">
            <w:pPr>
              <w:rPr>
                <w:color w:val="000000" w:themeColor="text1"/>
                <w:sz w:val="20"/>
                <w:szCs w:val="20"/>
              </w:rPr>
            </w:pPr>
          </w:p>
        </w:tc>
        <w:tc>
          <w:tcPr>
            <w:tcW w:w="3119" w:type="dxa"/>
          </w:tcPr>
          <w:p w14:paraId="0C6D7809" w14:textId="77777777" w:rsidR="00BD2DF5" w:rsidRPr="00C5255D" w:rsidRDefault="00BD2DF5" w:rsidP="0077143F">
            <w:pPr>
              <w:rPr>
                <w:b/>
                <w:bCs/>
                <w:i/>
                <w:iCs/>
                <w:sz w:val="20"/>
                <w:szCs w:val="20"/>
              </w:rPr>
            </w:pPr>
            <w:r w:rsidRPr="00C5255D">
              <w:rPr>
                <w:sz w:val="20"/>
                <w:szCs w:val="20"/>
              </w:rPr>
              <w:lastRenderedPageBreak/>
              <w:t xml:space="preserve">Cases involving cross clamping of major vessels, cardiac surgery or endovascular work are to be </w:t>
            </w:r>
            <w:r w:rsidRPr="00C5255D">
              <w:rPr>
                <w:b/>
                <w:bCs/>
                <w:i/>
                <w:iCs/>
                <w:sz w:val="20"/>
                <w:szCs w:val="20"/>
              </w:rPr>
              <w:t>included</w:t>
            </w:r>
          </w:p>
          <w:p w14:paraId="5EA2B886" w14:textId="77777777" w:rsidR="00BD2DF5" w:rsidRPr="00C5255D" w:rsidRDefault="00BD2DF5" w:rsidP="0077143F">
            <w:pPr>
              <w:rPr>
                <w:b/>
                <w:bCs/>
                <w:i/>
                <w:iCs/>
                <w:sz w:val="20"/>
                <w:szCs w:val="20"/>
              </w:rPr>
            </w:pPr>
          </w:p>
          <w:p w14:paraId="238DE2EB" w14:textId="77777777" w:rsidR="00BD2DF5" w:rsidRPr="00C5255D" w:rsidRDefault="00BD2DF5" w:rsidP="0077143F">
            <w:pPr>
              <w:rPr>
                <w:sz w:val="20"/>
                <w:szCs w:val="20"/>
              </w:rPr>
            </w:pPr>
          </w:p>
          <w:p w14:paraId="15471CFA" w14:textId="77777777" w:rsidR="00BD2DF5" w:rsidRPr="00C5255D" w:rsidRDefault="00BD2DF5" w:rsidP="0077143F">
            <w:pPr>
              <w:rPr>
                <w:sz w:val="20"/>
                <w:szCs w:val="20"/>
              </w:rPr>
            </w:pPr>
          </w:p>
          <w:p w14:paraId="642F60DC" w14:textId="77777777" w:rsidR="00BD2DF5" w:rsidRPr="00C5255D" w:rsidRDefault="00BD2DF5" w:rsidP="0077143F">
            <w:pPr>
              <w:rPr>
                <w:sz w:val="20"/>
                <w:szCs w:val="20"/>
              </w:rPr>
            </w:pPr>
          </w:p>
          <w:p w14:paraId="08A3C10D" w14:textId="77777777" w:rsidR="00BD2DF5" w:rsidRPr="00C5255D" w:rsidRDefault="00BD2DF5" w:rsidP="0077143F">
            <w:pPr>
              <w:rPr>
                <w:sz w:val="20"/>
                <w:szCs w:val="20"/>
              </w:rPr>
            </w:pPr>
          </w:p>
        </w:tc>
      </w:tr>
      <w:tr w:rsidR="00BD2DF5" w14:paraId="006C36DB" w14:textId="77777777" w:rsidTr="0077143F">
        <w:trPr>
          <w:trHeight w:val="300"/>
        </w:trPr>
        <w:tc>
          <w:tcPr>
            <w:tcW w:w="2405" w:type="dxa"/>
          </w:tcPr>
          <w:p w14:paraId="483177AD" w14:textId="77777777" w:rsidR="00BD2DF5" w:rsidRPr="00C5255D" w:rsidRDefault="00BD2DF5" w:rsidP="0077143F">
            <w:pPr>
              <w:rPr>
                <w:szCs w:val="22"/>
              </w:rPr>
            </w:pPr>
            <w:r w:rsidRPr="00C5255D">
              <w:rPr>
                <w:szCs w:val="22"/>
              </w:rPr>
              <w:t>Peripheral nerve injury</w:t>
            </w:r>
          </w:p>
          <w:p w14:paraId="2CC8F5C6" w14:textId="77777777" w:rsidR="00BD2DF5" w:rsidRPr="00C5255D" w:rsidRDefault="00BD2DF5" w:rsidP="0077143F">
            <w:pPr>
              <w:rPr>
                <w:szCs w:val="22"/>
              </w:rPr>
            </w:pPr>
            <w:r w:rsidRPr="00C5255D">
              <w:rPr>
                <w:szCs w:val="22"/>
              </w:rPr>
              <w:t>(general anaesthesia /sedation/MAC)</w:t>
            </w:r>
          </w:p>
          <w:p w14:paraId="3489832C" w14:textId="77777777" w:rsidR="00BD2DF5" w:rsidRPr="00C5255D" w:rsidRDefault="00BD2DF5" w:rsidP="0077143F">
            <w:pPr>
              <w:rPr>
                <w:rFonts w:ascii="Aptos" w:hAnsi="Aptos"/>
                <w:b/>
                <w:bCs/>
                <w:color w:val="212121"/>
                <w:szCs w:val="22"/>
              </w:rPr>
            </w:pPr>
          </w:p>
        </w:tc>
        <w:tc>
          <w:tcPr>
            <w:tcW w:w="4820" w:type="dxa"/>
          </w:tcPr>
          <w:p w14:paraId="1A7A0B73" w14:textId="77777777" w:rsidR="00BD2DF5" w:rsidRPr="00C5255D" w:rsidRDefault="00BD2DF5" w:rsidP="0077143F">
            <w:pPr>
              <w:rPr>
                <w:sz w:val="20"/>
                <w:szCs w:val="20"/>
              </w:rPr>
            </w:pPr>
            <w:r w:rsidRPr="00C5255D">
              <w:rPr>
                <w:sz w:val="20"/>
                <w:szCs w:val="20"/>
              </w:rPr>
              <w:t>Unintended new abnormality in one or more modalities (sensory, motor, pain or autonomic) lasting more than 48 hours following the end of the procedure*</w:t>
            </w:r>
          </w:p>
          <w:p w14:paraId="5715F3CC" w14:textId="77777777" w:rsidR="00BD2DF5" w:rsidRPr="00C5255D" w:rsidRDefault="00BD2DF5" w:rsidP="0077143F">
            <w:pPr>
              <w:rPr>
                <w:sz w:val="20"/>
                <w:szCs w:val="20"/>
              </w:rPr>
            </w:pPr>
          </w:p>
          <w:p w14:paraId="0036BBB8" w14:textId="77777777" w:rsidR="00BD2DF5" w:rsidRPr="00C5255D" w:rsidRDefault="00BD2DF5" w:rsidP="0077143F">
            <w:pPr>
              <w:rPr>
                <w:sz w:val="20"/>
                <w:szCs w:val="20"/>
              </w:rPr>
            </w:pPr>
          </w:p>
          <w:p w14:paraId="4ECC36D1" w14:textId="77777777" w:rsidR="00BD2DF5" w:rsidRPr="00C5255D" w:rsidRDefault="00BD2DF5" w:rsidP="0077143F">
            <w:pPr>
              <w:rPr>
                <w:color w:val="333333"/>
                <w:sz w:val="20"/>
                <w:szCs w:val="20"/>
              </w:rPr>
            </w:pPr>
          </w:p>
        </w:tc>
        <w:tc>
          <w:tcPr>
            <w:tcW w:w="3685" w:type="dxa"/>
          </w:tcPr>
          <w:p w14:paraId="0B5FD9E1" w14:textId="3981CEE0" w:rsidR="00BD2DF5" w:rsidRPr="00C5255D" w:rsidRDefault="00252123" w:rsidP="0077143F">
            <w:pPr>
              <w:rPr>
                <w:b/>
                <w:bCs/>
                <w:sz w:val="20"/>
                <w:szCs w:val="20"/>
              </w:rPr>
            </w:pPr>
            <w:r w:rsidRPr="00AD713B">
              <w:rPr>
                <w:sz w:val="20"/>
                <w:szCs w:val="20"/>
              </w:rPr>
              <w:t xml:space="preserve">Cause agreed by local multidisciplinary team to be secondary to direct surgical injury or childbirth. In obstetric patients please do not report femoral, obturator, peroneal, </w:t>
            </w:r>
            <w:proofErr w:type="gramStart"/>
            <w:r w:rsidRPr="00AD713B">
              <w:rPr>
                <w:sz w:val="20"/>
                <w:szCs w:val="20"/>
              </w:rPr>
              <w:t>lumbosacral</w:t>
            </w:r>
            <w:proofErr w:type="gramEnd"/>
            <w:r w:rsidRPr="00AD713B">
              <w:rPr>
                <w:sz w:val="20"/>
                <w:szCs w:val="20"/>
              </w:rPr>
              <w:t xml:space="preserve"> or lateral cutaneous nerve of thigh neuropathies/plexopathies unless there is a clear likelihood that peri-operative positioning was responsible</w:t>
            </w:r>
            <w:r>
              <w:rPr>
                <w:sz w:val="20"/>
                <w:szCs w:val="20"/>
              </w:rPr>
              <w:t xml:space="preserve">. </w:t>
            </w:r>
            <w:r w:rsidRPr="007E4AE2">
              <w:rPr>
                <w:sz w:val="20"/>
                <w:szCs w:val="20"/>
              </w:rPr>
              <w:t>If in doubt report.</w:t>
            </w:r>
          </w:p>
          <w:p w14:paraId="77364874" w14:textId="77777777" w:rsidR="00BD2DF5" w:rsidRPr="00C5255D" w:rsidRDefault="00BD2DF5" w:rsidP="0077143F">
            <w:pPr>
              <w:rPr>
                <w:sz w:val="20"/>
                <w:szCs w:val="20"/>
              </w:rPr>
            </w:pPr>
          </w:p>
          <w:p w14:paraId="7886816C" w14:textId="77777777" w:rsidR="00BD2DF5" w:rsidRPr="00C5255D" w:rsidRDefault="00BD2DF5" w:rsidP="0077143F">
            <w:pPr>
              <w:rPr>
                <w:b/>
                <w:bCs/>
                <w:sz w:val="20"/>
                <w:szCs w:val="20"/>
              </w:rPr>
            </w:pPr>
            <w:r w:rsidRPr="00C5255D">
              <w:rPr>
                <w:b/>
                <w:bCs/>
                <w:sz w:val="20"/>
                <w:szCs w:val="20"/>
              </w:rPr>
              <w:t>OR</w:t>
            </w:r>
          </w:p>
          <w:p w14:paraId="5B201307" w14:textId="77777777" w:rsidR="00BD2DF5" w:rsidRPr="00C5255D" w:rsidRDefault="00BD2DF5" w:rsidP="0077143F">
            <w:pPr>
              <w:rPr>
                <w:sz w:val="20"/>
                <w:szCs w:val="20"/>
              </w:rPr>
            </w:pPr>
          </w:p>
          <w:p w14:paraId="7886EB0D" w14:textId="77777777" w:rsidR="00BD2DF5" w:rsidRPr="00C5255D" w:rsidRDefault="00BD2DF5" w:rsidP="0077143F">
            <w:pPr>
              <w:rPr>
                <w:sz w:val="20"/>
                <w:szCs w:val="20"/>
              </w:rPr>
            </w:pPr>
            <w:r w:rsidRPr="00C5255D">
              <w:rPr>
                <w:sz w:val="20"/>
                <w:szCs w:val="20"/>
              </w:rPr>
              <w:t>Nerve injury secondary to airway manipulation e.g. lingual or hypoglossal nerves secondary to laryngeal mask positioning</w:t>
            </w:r>
          </w:p>
          <w:p w14:paraId="6AF4470F" w14:textId="77777777" w:rsidR="00BD2DF5" w:rsidRPr="00C5255D" w:rsidRDefault="00BD2DF5" w:rsidP="0077143F">
            <w:pPr>
              <w:rPr>
                <w:rStyle w:val="Strong"/>
                <w:b w:val="0"/>
                <w:bCs w:val="0"/>
                <w:sz w:val="20"/>
                <w:szCs w:val="20"/>
              </w:rPr>
            </w:pPr>
          </w:p>
          <w:p w14:paraId="3856F586" w14:textId="77777777" w:rsidR="00BD2DF5" w:rsidRPr="00C5255D" w:rsidRDefault="00BD2DF5" w:rsidP="0077143F">
            <w:pPr>
              <w:rPr>
                <w:rStyle w:val="Strong"/>
                <w:sz w:val="20"/>
                <w:szCs w:val="20"/>
              </w:rPr>
            </w:pPr>
            <w:r w:rsidRPr="00C5255D">
              <w:rPr>
                <w:rStyle w:val="Strong"/>
                <w:sz w:val="20"/>
                <w:szCs w:val="20"/>
              </w:rPr>
              <w:t>OR</w:t>
            </w:r>
          </w:p>
          <w:p w14:paraId="7B15DEE2" w14:textId="77777777" w:rsidR="00BD2DF5" w:rsidRPr="00C5255D" w:rsidRDefault="00BD2DF5" w:rsidP="0077143F">
            <w:pPr>
              <w:rPr>
                <w:rStyle w:val="Strong"/>
                <w:sz w:val="20"/>
                <w:szCs w:val="20"/>
              </w:rPr>
            </w:pPr>
          </w:p>
          <w:p w14:paraId="11146FB4" w14:textId="77777777" w:rsidR="00BD2DF5" w:rsidRPr="00C5255D" w:rsidRDefault="00BD2DF5" w:rsidP="0077143F">
            <w:pPr>
              <w:rPr>
                <w:sz w:val="20"/>
                <w:szCs w:val="20"/>
              </w:rPr>
            </w:pPr>
            <w:r w:rsidRPr="00C5255D">
              <w:rPr>
                <w:sz w:val="20"/>
                <w:szCs w:val="20"/>
              </w:rPr>
              <w:lastRenderedPageBreak/>
              <w:t>Critical illness polyneuropathy following surgery and ICU stay</w:t>
            </w:r>
          </w:p>
          <w:p w14:paraId="580DF992" w14:textId="77777777" w:rsidR="00BD2DF5" w:rsidRPr="00C5255D" w:rsidRDefault="00BD2DF5" w:rsidP="0077143F">
            <w:pPr>
              <w:rPr>
                <w:rStyle w:val="Strong"/>
                <w:b w:val="0"/>
                <w:bCs w:val="0"/>
                <w:sz w:val="20"/>
                <w:szCs w:val="20"/>
              </w:rPr>
            </w:pPr>
          </w:p>
        </w:tc>
        <w:tc>
          <w:tcPr>
            <w:tcW w:w="3119" w:type="dxa"/>
          </w:tcPr>
          <w:p w14:paraId="2B2C442F" w14:textId="77777777" w:rsidR="00BD2DF5" w:rsidRPr="00C5255D" w:rsidRDefault="00BD2DF5" w:rsidP="0077143F">
            <w:pPr>
              <w:rPr>
                <w:sz w:val="20"/>
                <w:szCs w:val="20"/>
              </w:rPr>
            </w:pPr>
            <w:r w:rsidRPr="00C5255D">
              <w:rPr>
                <w:sz w:val="20"/>
                <w:szCs w:val="20"/>
              </w:rPr>
              <w:lastRenderedPageBreak/>
              <w:t xml:space="preserve">For </w:t>
            </w:r>
            <w:proofErr w:type="gramStart"/>
            <w:r w:rsidRPr="00C5255D">
              <w:rPr>
                <w:sz w:val="20"/>
                <w:szCs w:val="20"/>
              </w:rPr>
              <w:t>example</w:t>
            </w:r>
            <w:proofErr w:type="gramEnd"/>
            <w:r w:rsidRPr="00C5255D">
              <w:rPr>
                <w:sz w:val="20"/>
                <w:szCs w:val="20"/>
              </w:rPr>
              <w:t xml:space="preserve"> brachial plexus injury following Trendelenburg position; common peroneal nerve injury following lithotomy position; ulnar nerve injury due to compression; tourniquet related injury</w:t>
            </w:r>
          </w:p>
          <w:p w14:paraId="5C40995D" w14:textId="77777777" w:rsidR="00BD2DF5" w:rsidRPr="00C5255D" w:rsidRDefault="00BD2DF5" w:rsidP="0077143F">
            <w:pPr>
              <w:rPr>
                <w:sz w:val="20"/>
                <w:szCs w:val="20"/>
              </w:rPr>
            </w:pPr>
          </w:p>
          <w:p w14:paraId="354859E8" w14:textId="77777777" w:rsidR="00BD2DF5" w:rsidRPr="00C5255D" w:rsidRDefault="00BD2DF5" w:rsidP="0077143F">
            <w:pPr>
              <w:rPr>
                <w:color w:val="000000" w:themeColor="text1"/>
                <w:sz w:val="20"/>
                <w:szCs w:val="20"/>
              </w:rPr>
            </w:pPr>
            <w:r w:rsidRPr="00C5255D">
              <w:rPr>
                <w:color w:val="000000" w:themeColor="text1"/>
                <w:sz w:val="20"/>
                <w:szCs w:val="20"/>
              </w:rPr>
              <w:t xml:space="preserve">Abnormalities do not need to map to any </w:t>
            </w:r>
            <w:proofErr w:type="gramStart"/>
            <w:r w:rsidRPr="00C5255D">
              <w:rPr>
                <w:color w:val="000000" w:themeColor="text1"/>
                <w:sz w:val="20"/>
                <w:szCs w:val="20"/>
              </w:rPr>
              <w:t>particular nerve</w:t>
            </w:r>
            <w:proofErr w:type="gramEnd"/>
            <w:r w:rsidRPr="00C5255D">
              <w:rPr>
                <w:color w:val="000000" w:themeColor="text1"/>
                <w:sz w:val="20"/>
                <w:szCs w:val="20"/>
              </w:rPr>
              <w:t xml:space="preserve"> or radicular distribution.</w:t>
            </w:r>
          </w:p>
          <w:p w14:paraId="33ADD9F2" w14:textId="77777777" w:rsidR="00BD2DF5" w:rsidRPr="00C5255D" w:rsidRDefault="00BD2DF5" w:rsidP="0077143F">
            <w:pPr>
              <w:rPr>
                <w:sz w:val="20"/>
                <w:szCs w:val="20"/>
              </w:rPr>
            </w:pPr>
          </w:p>
          <w:p w14:paraId="2F8EE963" w14:textId="77777777" w:rsidR="00BD2DF5" w:rsidRPr="00C5255D" w:rsidRDefault="00BD2DF5" w:rsidP="0077143F">
            <w:pPr>
              <w:rPr>
                <w:sz w:val="20"/>
                <w:szCs w:val="20"/>
              </w:rPr>
            </w:pPr>
            <w:r w:rsidRPr="00C5255D">
              <w:rPr>
                <w:sz w:val="20"/>
                <w:szCs w:val="20"/>
              </w:rPr>
              <w:t xml:space="preserve">Neurological abnormality may be a </w:t>
            </w:r>
            <w:r w:rsidRPr="00C5255D">
              <w:rPr>
                <w:i/>
                <w:iCs/>
                <w:sz w:val="20"/>
                <w:szCs w:val="20"/>
              </w:rPr>
              <w:t>change</w:t>
            </w:r>
            <w:r w:rsidRPr="00C5255D">
              <w:rPr>
                <w:sz w:val="20"/>
                <w:szCs w:val="20"/>
              </w:rPr>
              <w:t xml:space="preserve"> of function in any specific modality (e.g. in the sensory modality both unintended new loss of sensation and new paraesthesia should trigger reporting)</w:t>
            </w:r>
          </w:p>
          <w:p w14:paraId="189C57F4" w14:textId="77777777" w:rsidR="00BD2DF5" w:rsidRPr="00C5255D" w:rsidRDefault="00BD2DF5" w:rsidP="0077143F">
            <w:pPr>
              <w:rPr>
                <w:i/>
                <w:iCs/>
                <w:sz w:val="20"/>
                <w:szCs w:val="20"/>
              </w:rPr>
            </w:pPr>
          </w:p>
          <w:p w14:paraId="40E6EF14" w14:textId="77777777" w:rsidR="00BD2DF5" w:rsidRPr="00C5255D" w:rsidRDefault="00BD2DF5" w:rsidP="0077143F">
            <w:pPr>
              <w:rPr>
                <w:i/>
                <w:iCs/>
                <w:sz w:val="20"/>
                <w:szCs w:val="20"/>
              </w:rPr>
            </w:pPr>
          </w:p>
          <w:p w14:paraId="766E9805" w14:textId="77777777" w:rsidR="00BD2DF5" w:rsidRDefault="00BD2DF5" w:rsidP="0077143F">
            <w:pPr>
              <w:rPr>
                <w:sz w:val="20"/>
                <w:szCs w:val="20"/>
              </w:rPr>
            </w:pPr>
            <w:r w:rsidRPr="00C5255D">
              <w:rPr>
                <w:sz w:val="20"/>
                <w:szCs w:val="20"/>
              </w:rPr>
              <w:lastRenderedPageBreak/>
              <w:t xml:space="preserve">*Please follow standard care pathways including referral to neurological/surgical services, imaging and nerve conduction studies </w:t>
            </w:r>
            <w:proofErr w:type="gramStart"/>
            <w:r w:rsidRPr="00C5255D">
              <w:rPr>
                <w:sz w:val="20"/>
                <w:szCs w:val="20"/>
              </w:rPr>
              <w:t>where</w:t>
            </w:r>
            <w:proofErr w:type="gramEnd"/>
            <w:r w:rsidRPr="00C5255D">
              <w:rPr>
                <w:sz w:val="20"/>
                <w:szCs w:val="20"/>
              </w:rPr>
              <w:t xml:space="preserve"> deemed appropriate by local team. </w:t>
            </w:r>
          </w:p>
          <w:p w14:paraId="0BCAFC25" w14:textId="77777777" w:rsidR="00BD2DF5" w:rsidRDefault="00BD2DF5" w:rsidP="0077143F">
            <w:pPr>
              <w:rPr>
                <w:sz w:val="20"/>
                <w:szCs w:val="20"/>
              </w:rPr>
            </w:pPr>
          </w:p>
          <w:p w14:paraId="0537C261" w14:textId="77777777" w:rsidR="00BD2DF5" w:rsidRPr="00D230F0" w:rsidRDefault="00BD2DF5" w:rsidP="0077143F">
            <w:pPr>
              <w:rPr>
                <w:sz w:val="20"/>
                <w:szCs w:val="20"/>
              </w:rPr>
            </w:pPr>
            <w:r w:rsidRPr="00C5255D">
              <w:rPr>
                <w:sz w:val="20"/>
                <w:szCs w:val="20"/>
              </w:rPr>
              <w:t>Please log the nerve injury in the NAP8 database at the time of presentation. An automatic alert will be sent at 6 months to please review the patient case notes, log in and follow instructions. This information will be vital and will be used by the multidisciplinary review team to a) determine causality and b) to define the injury as permanent or not</w:t>
            </w:r>
          </w:p>
          <w:p w14:paraId="4728B9C9" w14:textId="77777777" w:rsidR="00BD2DF5" w:rsidRPr="00D230F0" w:rsidRDefault="00BD2DF5" w:rsidP="0077143F">
            <w:pPr>
              <w:rPr>
                <w:sz w:val="20"/>
                <w:szCs w:val="20"/>
              </w:rPr>
            </w:pPr>
          </w:p>
        </w:tc>
      </w:tr>
    </w:tbl>
    <w:p w14:paraId="52811313" w14:textId="77777777" w:rsidR="00BD2DF5" w:rsidRDefault="00BD2DF5" w:rsidP="00BD2DF5"/>
    <w:p w14:paraId="3CC59D7D" w14:textId="77777777" w:rsidR="00BD2DF5" w:rsidRPr="003E7BCF" w:rsidRDefault="00BD2DF5" w:rsidP="00BD2DF5">
      <w:pPr>
        <w:rPr>
          <w:szCs w:val="22"/>
        </w:rPr>
      </w:pPr>
    </w:p>
    <w:p w14:paraId="098CF614" w14:textId="77777777" w:rsidR="00563EAF" w:rsidRPr="00307896" w:rsidRDefault="00563EAF" w:rsidP="00BD2DF5"/>
    <w:sectPr w:rsidR="00563EAF" w:rsidRPr="00307896" w:rsidSect="00921B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0889" w14:textId="77777777" w:rsidR="00FD63AA" w:rsidRDefault="00FD63AA" w:rsidP="00921B30">
      <w:r>
        <w:separator/>
      </w:r>
    </w:p>
  </w:endnote>
  <w:endnote w:type="continuationSeparator" w:id="0">
    <w:p w14:paraId="6BA18BC6" w14:textId="77777777" w:rsidR="00FD63AA" w:rsidRDefault="00FD63AA" w:rsidP="0092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7929955"/>
      <w:docPartObj>
        <w:docPartGallery w:val="Page Numbers (Bottom of Page)"/>
        <w:docPartUnique/>
      </w:docPartObj>
    </w:sdtPr>
    <w:sdtContent>
      <w:p w14:paraId="03B0D32B" w14:textId="28E2F874" w:rsidR="00921B30" w:rsidRDefault="00921B30" w:rsidP="00667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71779" w14:textId="77777777" w:rsidR="00921B30" w:rsidRDefault="00921B30" w:rsidP="00921B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6636202"/>
      <w:docPartObj>
        <w:docPartGallery w:val="Page Numbers (Bottom of Page)"/>
        <w:docPartUnique/>
      </w:docPartObj>
    </w:sdtPr>
    <w:sdtContent>
      <w:p w14:paraId="36CE130B" w14:textId="535A9BD1" w:rsidR="00921B30" w:rsidRDefault="00921B30" w:rsidP="00667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67D5AB09" w14:textId="7F86204A" w:rsidR="00921B30" w:rsidRDefault="00666E61" w:rsidP="00921B30">
    <w:pPr>
      <w:pStyle w:val="Footer"/>
      <w:ind w:right="360"/>
    </w:pPr>
    <w:r>
      <w:t xml:space="preserve">Version </w:t>
    </w:r>
    <w:r w:rsidR="00BD2DF5">
      <w:t>1</w:t>
    </w:r>
    <w:r w:rsidR="00CD0059">
      <w:t>.</w:t>
    </w:r>
    <w:r w:rsidR="00252123">
      <w:t>4</w:t>
    </w:r>
    <w:r w:rsidR="00CD0059">
      <w:t xml:space="preserve"> </w:t>
    </w:r>
    <w:r w:rsidR="00252123">
      <w:t>April</w:t>
    </w:r>
    <w:r w:rsidR="00252123">
      <w:t xml:space="preserve"> </w:t>
    </w:r>
    <w:r w:rsidR="00CD0059">
      <w:t>202</w:t>
    </w:r>
    <w:r w:rsidR="003C3F6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476FB" w14:textId="77777777" w:rsidR="00FD63AA" w:rsidRDefault="00FD63AA" w:rsidP="00921B30">
      <w:r>
        <w:separator/>
      </w:r>
    </w:p>
  </w:footnote>
  <w:footnote w:type="continuationSeparator" w:id="0">
    <w:p w14:paraId="00AC0AD5" w14:textId="77777777" w:rsidR="00FD63AA" w:rsidRDefault="00FD63AA" w:rsidP="0092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85F1" w14:textId="433E0787" w:rsidR="00960E4A" w:rsidRDefault="00921B30" w:rsidP="00921B30">
    <w:pPr>
      <w:pBdr>
        <w:top w:val="nil"/>
        <w:left w:val="nil"/>
        <w:bottom w:val="nil"/>
        <w:right w:val="nil"/>
        <w:between w:val="nil"/>
      </w:pBdr>
      <w:tabs>
        <w:tab w:val="center" w:pos="4153"/>
        <w:tab w:val="right" w:pos="8306"/>
        <w:tab w:val="center" w:pos="8222"/>
      </w:tabs>
      <w:rPr>
        <w:i/>
        <w:color w:val="000000"/>
        <w:szCs w:val="22"/>
      </w:rPr>
    </w:pPr>
    <w:r w:rsidRPr="00FA458C">
      <w:rPr>
        <w:b/>
        <w:i/>
        <w:color w:val="000000"/>
        <w:szCs w:val="22"/>
      </w:rPr>
      <w:t>NAP8</w:t>
    </w:r>
    <w:r w:rsidRPr="00FA458C">
      <w:rPr>
        <w:b/>
        <w:i/>
        <w:color w:val="000000"/>
        <w:szCs w:val="22"/>
      </w:rPr>
      <w:tab/>
    </w:r>
    <w:r w:rsidR="007E4A16">
      <w:rPr>
        <w:b/>
        <w:i/>
        <w:color w:val="000000"/>
        <w:szCs w:val="22"/>
      </w:rPr>
      <w:t xml:space="preserve"> </w:t>
    </w:r>
    <w:r>
      <w:rPr>
        <w:i/>
        <w:color w:val="000000"/>
        <w:szCs w:val="22"/>
      </w:rPr>
      <w:t xml:space="preserve">APPENDIX 6: DEFINITION OF </w:t>
    </w:r>
    <w:r w:rsidR="00BD2DF5">
      <w:rPr>
        <w:i/>
        <w:color w:val="000000"/>
        <w:szCs w:val="22"/>
      </w:rPr>
      <w:t>GA/SEDATION/MAC</w:t>
    </w:r>
    <w:r w:rsidR="00156841">
      <w:rPr>
        <w:i/>
        <w:color w:val="000000"/>
        <w:szCs w:val="22"/>
      </w:rPr>
      <w:t xml:space="preserve">-RELATED </w:t>
    </w:r>
    <w:r>
      <w:rPr>
        <w:i/>
        <w:color w:val="000000"/>
        <w:szCs w:val="22"/>
      </w:rPr>
      <w:t>COMPLICATIONS</w:t>
    </w:r>
    <w:r w:rsidRPr="00FA458C">
      <w:rPr>
        <w:i/>
        <w:color w:val="000000"/>
        <w:szCs w:val="22"/>
      </w:rPr>
      <w:t xml:space="preserve"> v</w:t>
    </w:r>
    <w:r w:rsidR="00BD2DF5">
      <w:rPr>
        <w:i/>
        <w:color w:val="000000"/>
        <w:szCs w:val="22"/>
      </w:rPr>
      <w:t>1.</w:t>
    </w:r>
    <w:r w:rsidR="00252123">
      <w:rPr>
        <w:i/>
        <w:color w:val="000000"/>
        <w:szCs w:val="22"/>
      </w:rPr>
      <w:t>4</w:t>
    </w:r>
  </w:p>
  <w:p w14:paraId="6E70E4CB" w14:textId="77777777" w:rsidR="001B6AFB" w:rsidRPr="00FA458C" w:rsidRDefault="001B6AFB" w:rsidP="00921B30">
    <w:pPr>
      <w:pBdr>
        <w:top w:val="nil"/>
        <w:left w:val="nil"/>
        <w:bottom w:val="nil"/>
        <w:right w:val="nil"/>
        <w:between w:val="nil"/>
      </w:pBdr>
      <w:tabs>
        <w:tab w:val="center" w:pos="4153"/>
        <w:tab w:val="right" w:pos="8306"/>
        <w:tab w:val="center" w:pos="8222"/>
      </w:tabs>
      <w:rPr>
        <w:i/>
        <w:color w:val="000000"/>
        <w:szCs w:val="22"/>
      </w:rPr>
    </w:pPr>
  </w:p>
  <w:p w14:paraId="4A45F599" w14:textId="03A89C1B" w:rsidR="00921B30" w:rsidRPr="00921B30" w:rsidRDefault="00921B30" w:rsidP="00921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78F"/>
    <w:multiLevelType w:val="hybridMultilevel"/>
    <w:tmpl w:val="E632B68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773A0"/>
    <w:multiLevelType w:val="hybridMultilevel"/>
    <w:tmpl w:val="E632B680"/>
    <w:lvl w:ilvl="0" w:tplc="F148EA6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73B78"/>
    <w:multiLevelType w:val="hybridMultilevel"/>
    <w:tmpl w:val="6EFAD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2B40A9"/>
    <w:multiLevelType w:val="multilevel"/>
    <w:tmpl w:val="92D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E486F"/>
    <w:multiLevelType w:val="hybridMultilevel"/>
    <w:tmpl w:val="FD10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45663"/>
    <w:multiLevelType w:val="hybridMultilevel"/>
    <w:tmpl w:val="D6CE2D3A"/>
    <w:lvl w:ilvl="0" w:tplc="D106602C">
      <w:start w:val="7"/>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3433B"/>
    <w:multiLevelType w:val="hybridMultilevel"/>
    <w:tmpl w:val="C91609F2"/>
    <w:lvl w:ilvl="0" w:tplc="FFFFFFFF">
      <w:start w:val="2"/>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792760"/>
    <w:multiLevelType w:val="multilevel"/>
    <w:tmpl w:val="735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B97197"/>
    <w:multiLevelType w:val="hybridMultilevel"/>
    <w:tmpl w:val="D9E8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A11E9"/>
    <w:multiLevelType w:val="hybridMultilevel"/>
    <w:tmpl w:val="DFC2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77FBF"/>
    <w:multiLevelType w:val="hybridMultilevel"/>
    <w:tmpl w:val="F9281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5623C6"/>
    <w:multiLevelType w:val="hybridMultilevel"/>
    <w:tmpl w:val="31F8759A"/>
    <w:lvl w:ilvl="0" w:tplc="FFFFFFFF">
      <w:start w:val="3"/>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5565"/>
    <w:multiLevelType w:val="multilevel"/>
    <w:tmpl w:val="7D5A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760E0"/>
    <w:multiLevelType w:val="hybridMultilevel"/>
    <w:tmpl w:val="31F8759A"/>
    <w:lvl w:ilvl="0" w:tplc="480C5468">
      <w:start w:val="3"/>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70773"/>
    <w:multiLevelType w:val="hybridMultilevel"/>
    <w:tmpl w:val="C91609F2"/>
    <w:lvl w:ilvl="0" w:tplc="3FEE09D2">
      <w:start w:val="2"/>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935D1"/>
    <w:multiLevelType w:val="hybridMultilevel"/>
    <w:tmpl w:val="C3BE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A265C"/>
    <w:multiLevelType w:val="hybridMultilevel"/>
    <w:tmpl w:val="BFE8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522508">
    <w:abstractNumId w:val="15"/>
  </w:num>
  <w:num w:numId="2" w16cid:durableId="1342196971">
    <w:abstractNumId w:val="10"/>
  </w:num>
  <w:num w:numId="3" w16cid:durableId="598677230">
    <w:abstractNumId w:val="17"/>
  </w:num>
  <w:num w:numId="4" w16cid:durableId="460148956">
    <w:abstractNumId w:val="8"/>
  </w:num>
  <w:num w:numId="5" w16cid:durableId="920715880">
    <w:abstractNumId w:val="11"/>
  </w:num>
  <w:num w:numId="6" w16cid:durableId="1282498329">
    <w:abstractNumId w:val="12"/>
  </w:num>
  <w:num w:numId="7" w16cid:durableId="1579554710">
    <w:abstractNumId w:val="1"/>
  </w:num>
  <w:num w:numId="8" w16cid:durableId="548686747">
    <w:abstractNumId w:val="0"/>
  </w:num>
  <w:num w:numId="9" w16cid:durableId="1046567420">
    <w:abstractNumId w:val="18"/>
  </w:num>
  <w:num w:numId="10" w16cid:durableId="48845563">
    <w:abstractNumId w:val="6"/>
  </w:num>
  <w:num w:numId="11" w16cid:durableId="1932350709">
    <w:abstractNumId w:val="16"/>
  </w:num>
  <w:num w:numId="12" w16cid:durableId="317266645">
    <w:abstractNumId w:val="13"/>
  </w:num>
  <w:num w:numId="13" w16cid:durableId="875578466">
    <w:abstractNumId w:val="14"/>
  </w:num>
  <w:num w:numId="14" w16cid:durableId="1668553554">
    <w:abstractNumId w:val="3"/>
  </w:num>
  <w:num w:numId="15" w16cid:durableId="1582333152">
    <w:abstractNumId w:val="5"/>
  </w:num>
  <w:num w:numId="16" w16cid:durableId="432169416">
    <w:abstractNumId w:val="19"/>
  </w:num>
  <w:num w:numId="17" w16cid:durableId="477651914">
    <w:abstractNumId w:val="2"/>
  </w:num>
  <w:num w:numId="18" w16cid:durableId="554314660">
    <w:abstractNumId w:val="20"/>
  </w:num>
  <w:num w:numId="19" w16cid:durableId="846140725">
    <w:abstractNumId w:val="9"/>
  </w:num>
  <w:num w:numId="20" w16cid:durableId="860582609">
    <w:abstractNumId w:val="4"/>
  </w:num>
  <w:num w:numId="21" w16cid:durableId="312376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30"/>
    <w:rsid w:val="00002433"/>
    <w:rsid w:val="000126A8"/>
    <w:rsid w:val="00031D01"/>
    <w:rsid w:val="00040EBA"/>
    <w:rsid w:val="000441EA"/>
    <w:rsid w:val="00054E1D"/>
    <w:rsid w:val="00057BDA"/>
    <w:rsid w:val="00061DDF"/>
    <w:rsid w:val="000628C0"/>
    <w:rsid w:val="0007048B"/>
    <w:rsid w:val="0007100D"/>
    <w:rsid w:val="00080E45"/>
    <w:rsid w:val="000822E4"/>
    <w:rsid w:val="00093D44"/>
    <w:rsid w:val="000A443C"/>
    <w:rsid w:val="000B4DCB"/>
    <w:rsid w:val="000B7373"/>
    <w:rsid w:val="000D0326"/>
    <w:rsid w:val="000E6ACD"/>
    <w:rsid w:val="00106F4C"/>
    <w:rsid w:val="00107487"/>
    <w:rsid w:val="00115024"/>
    <w:rsid w:val="00117B75"/>
    <w:rsid w:val="00137737"/>
    <w:rsid w:val="00143596"/>
    <w:rsid w:val="00156841"/>
    <w:rsid w:val="00162651"/>
    <w:rsid w:val="001663A1"/>
    <w:rsid w:val="001855DD"/>
    <w:rsid w:val="001938CD"/>
    <w:rsid w:val="001B00EB"/>
    <w:rsid w:val="001B496C"/>
    <w:rsid w:val="001B641A"/>
    <w:rsid w:val="001B6AFB"/>
    <w:rsid w:val="001C2AED"/>
    <w:rsid w:val="001C49D8"/>
    <w:rsid w:val="001C68B1"/>
    <w:rsid w:val="001C77F1"/>
    <w:rsid w:val="001E7404"/>
    <w:rsid w:val="00200ECD"/>
    <w:rsid w:val="00201A4A"/>
    <w:rsid w:val="00202DD7"/>
    <w:rsid w:val="0021019F"/>
    <w:rsid w:val="002131A2"/>
    <w:rsid w:val="0022167D"/>
    <w:rsid w:val="002224CF"/>
    <w:rsid w:val="00234DE8"/>
    <w:rsid w:val="00241D20"/>
    <w:rsid w:val="00242EF6"/>
    <w:rsid w:val="00252123"/>
    <w:rsid w:val="00266B24"/>
    <w:rsid w:val="00271E44"/>
    <w:rsid w:val="00280438"/>
    <w:rsid w:val="00281B7D"/>
    <w:rsid w:val="002844F2"/>
    <w:rsid w:val="00294DCA"/>
    <w:rsid w:val="00294EBF"/>
    <w:rsid w:val="002A638A"/>
    <w:rsid w:val="002B4C28"/>
    <w:rsid w:val="002C3BA5"/>
    <w:rsid w:val="002D1DF9"/>
    <w:rsid w:val="002D77A9"/>
    <w:rsid w:val="002E25D4"/>
    <w:rsid w:val="002F671A"/>
    <w:rsid w:val="00307896"/>
    <w:rsid w:val="003121B8"/>
    <w:rsid w:val="003123FF"/>
    <w:rsid w:val="00320A25"/>
    <w:rsid w:val="00333F3B"/>
    <w:rsid w:val="0034318F"/>
    <w:rsid w:val="0036248A"/>
    <w:rsid w:val="00370750"/>
    <w:rsid w:val="0037160E"/>
    <w:rsid w:val="00372415"/>
    <w:rsid w:val="00382BA7"/>
    <w:rsid w:val="003901EB"/>
    <w:rsid w:val="003959BC"/>
    <w:rsid w:val="00397151"/>
    <w:rsid w:val="003A5FFD"/>
    <w:rsid w:val="003C3F66"/>
    <w:rsid w:val="003D4B5B"/>
    <w:rsid w:val="003D50A1"/>
    <w:rsid w:val="004060A9"/>
    <w:rsid w:val="00406B29"/>
    <w:rsid w:val="004120F6"/>
    <w:rsid w:val="0041217D"/>
    <w:rsid w:val="00452166"/>
    <w:rsid w:val="00452924"/>
    <w:rsid w:val="004608E0"/>
    <w:rsid w:val="00482932"/>
    <w:rsid w:val="004930D8"/>
    <w:rsid w:val="0049518A"/>
    <w:rsid w:val="004C4E64"/>
    <w:rsid w:val="004D0926"/>
    <w:rsid w:val="004D4A7D"/>
    <w:rsid w:val="004F0835"/>
    <w:rsid w:val="004F68C2"/>
    <w:rsid w:val="004F77C7"/>
    <w:rsid w:val="0051501A"/>
    <w:rsid w:val="0053354E"/>
    <w:rsid w:val="00540954"/>
    <w:rsid w:val="0054704C"/>
    <w:rsid w:val="00551F39"/>
    <w:rsid w:val="00557052"/>
    <w:rsid w:val="00563EAF"/>
    <w:rsid w:val="00575A1E"/>
    <w:rsid w:val="00585949"/>
    <w:rsid w:val="006006E9"/>
    <w:rsid w:val="006254FB"/>
    <w:rsid w:val="00632C04"/>
    <w:rsid w:val="0065286F"/>
    <w:rsid w:val="00666E61"/>
    <w:rsid w:val="00672B00"/>
    <w:rsid w:val="00687306"/>
    <w:rsid w:val="0069095B"/>
    <w:rsid w:val="00696DCE"/>
    <w:rsid w:val="006B5CBA"/>
    <w:rsid w:val="006C7D96"/>
    <w:rsid w:val="006D7CE3"/>
    <w:rsid w:val="006E13FB"/>
    <w:rsid w:val="007056EE"/>
    <w:rsid w:val="00711643"/>
    <w:rsid w:val="00711A65"/>
    <w:rsid w:val="00716192"/>
    <w:rsid w:val="00722E31"/>
    <w:rsid w:val="007233EC"/>
    <w:rsid w:val="00726196"/>
    <w:rsid w:val="00727B3E"/>
    <w:rsid w:val="007308DA"/>
    <w:rsid w:val="00732BDA"/>
    <w:rsid w:val="0073345F"/>
    <w:rsid w:val="0073423C"/>
    <w:rsid w:val="00746013"/>
    <w:rsid w:val="0076349D"/>
    <w:rsid w:val="00770C9A"/>
    <w:rsid w:val="00775FE5"/>
    <w:rsid w:val="0078606A"/>
    <w:rsid w:val="00793E29"/>
    <w:rsid w:val="007957EE"/>
    <w:rsid w:val="007B399B"/>
    <w:rsid w:val="007B470C"/>
    <w:rsid w:val="007B6897"/>
    <w:rsid w:val="007B7444"/>
    <w:rsid w:val="007C325C"/>
    <w:rsid w:val="007D2AD5"/>
    <w:rsid w:val="007D745F"/>
    <w:rsid w:val="007E4A16"/>
    <w:rsid w:val="007E4AE2"/>
    <w:rsid w:val="008039C3"/>
    <w:rsid w:val="00803F14"/>
    <w:rsid w:val="00803FEF"/>
    <w:rsid w:val="00810AE4"/>
    <w:rsid w:val="00810D38"/>
    <w:rsid w:val="008425C5"/>
    <w:rsid w:val="00843A9D"/>
    <w:rsid w:val="00844B4D"/>
    <w:rsid w:val="008745D5"/>
    <w:rsid w:val="008874B6"/>
    <w:rsid w:val="008A3EDB"/>
    <w:rsid w:val="008D5D22"/>
    <w:rsid w:val="008E1D44"/>
    <w:rsid w:val="008E6716"/>
    <w:rsid w:val="008F3D51"/>
    <w:rsid w:val="009028F1"/>
    <w:rsid w:val="009061D4"/>
    <w:rsid w:val="00911E1C"/>
    <w:rsid w:val="00921B30"/>
    <w:rsid w:val="009236EF"/>
    <w:rsid w:val="009317A6"/>
    <w:rsid w:val="0094726F"/>
    <w:rsid w:val="009541BA"/>
    <w:rsid w:val="0095641C"/>
    <w:rsid w:val="00960E4A"/>
    <w:rsid w:val="009721B2"/>
    <w:rsid w:val="00975537"/>
    <w:rsid w:val="009927EC"/>
    <w:rsid w:val="009A3F70"/>
    <w:rsid w:val="009B1C7C"/>
    <w:rsid w:val="009B322F"/>
    <w:rsid w:val="009C0B97"/>
    <w:rsid w:val="009C5850"/>
    <w:rsid w:val="009E651D"/>
    <w:rsid w:val="009F4510"/>
    <w:rsid w:val="00A16B1B"/>
    <w:rsid w:val="00A208B3"/>
    <w:rsid w:val="00A2458D"/>
    <w:rsid w:val="00A426D6"/>
    <w:rsid w:val="00A52A83"/>
    <w:rsid w:val="00A53F56"/>
    <w:rsid w:val="00A652E6"/>
    <w:rsid w:val="00A70746"/>
    <w:rsid w:val="00A82785"/>
    <w:rsid w:val="00A85740"/>
    <w:rsid w:val="00A86052"/>
    <w:rsid w:val="00A91915"/>
    <w:rsid w:val="00A93D21"/>
    <w:rsid w:val="00AA38BB"/>
    <w:rsid w:val="00AB7C2A"/>
    <w:rsid w:val="00AC1341"/>
    <w:rsid w:val="00AC1F66"/>
    <w:rsid w:val="00AD53B0"/>
    <w:rsid w:val="00AE294F"/>
    <w:rsid w:val="00AE3AFE"/>
    <w:rsid w:val="00B11A41"/>
    <w:rsid w:val="00B13323"/>
    <w:rsid w:val="00B16D9A"/>
    <w:rsid w:val="00B20486"/>
    <w:rsid w:val="00B31B4F"/>
    <w:rsid w:val="00B33FFC"/>
    <w:rsid w:val="00B47988"/>
    <w:rsid w:val="00B50138"/>
    <w:rsid w:val="00B54238"/>
    <w:rsid w:val="00B73C99"/>
    <w:rsid w:val="00B90B48"/>
    <w:rsid w:val="00B94B55"/>
    <w:rsid w:val="00BB633A"/>
    <w:rsid w:val="00BC20A0"/>
    <w:rsid w:val="00BD2DF5"/>
    <w:rsid w:val="00BD5537"/>
    <w:rsid w:val="00BE0B4E"/>
    <w:rsid w:val="00BF5A0A"/>
    <w:rsid w:val="00C00083"/>
    <w:rsid w:val="00C07077"/>
    <w:rsid w:val="00C0762E"/>
    <w:rsid w:val="00C10E01"/>
    <w:rsid w:val="00C13F16"/>
    <w:rsid w:val="00C41A0B"/>
    <w:rsid w:val="00C456B7"/>
    <w:rsid w:val="00C53AD5"/>
    <w:rsid w:val="00C5512A"/>
    <w:rsid w:val="00C67514"/>
    <w:rsid w:val="00C92F50"/>
    <w:rsid w:val="00CA10F4"/>
    <w:rsid w:val="00CA6D5E"/>
    <w:rsid w:val="00CB12BA"/>
    <w:rsid w:val="00CB7C9E"/>
    <w:rsid w:val="00CC3B0F"/>
    <w:rsid w:val="00CD0059"/>
    <w:rsid w:val="00CD1CB5"/>
    <w:rsid w:val="00CD6BCE"/>
    <w:rsid w:val="00CD70D8"/>
    <w:rsid w:val="00CE081A"/>
    <w:rsid w:val="00CE141F"/>
    <w:rsid w:val="00D0035E"/>
    <w:rsid w:val="00D004D7"/>
    <w:rsid w:val="00D07588"/>
    <w:rsid w:val="00D14D9B"/>
    <w:rsid w:val="00D17254"/>
    <w:rsid w:val="00D20D49"/>
    <w:rsid w:val="00D243BA"/>
    <w:rsid w:val="00D42A16"/>
    <w:rsid w:val="00D476C5"/>
    <w:rsid w:val="00D67273"/>
    <w:rsid w:val="00D728EF"/>
    <w:rsid w:val="00D755A4"/>
    <w:rsid w:val="00D91ADC"/>
    <w:rsid w:val="00D93CE0"/>
    <w:rsid w:val="00D944C8"/>
    <w:rsid w:val="00DA7550"/>
    <w:rsid w:val="00DB1E3C"/>
    <w:rsid w:val="00DD040F"/>
    <w:rsid w:val="00DD7D22"/>
    <w:rsid w:val="00DF2E8C"/>
    <w:rsid w:val="00DF641D"/>
    <w:rsid w:val="00E02445"/>
    <w:rsid w:val="00E1194B"/>
    <w:rsid w:val="00E17BBD"/>
    <w:rsid w:val="00E31DE2"/>
    <w:rsid w:val="00E40308"/>
    <w:rsid w:val="00E470C0"/>
    <w:rsid w:val="00E524BA"/>
    <w:rsid w:val="00E57343"/>
    <w:rsid w:val="00E72437"/>
    <w:rsid w:val="00E86188"/>
    <w:rsid w:val="00E937A8"/>
    <w:rsid w:val="00EA47B9"/>
    <w:rsid w:val="00EA68CB"/>
    <w:rsid w:val="00ED4659"/>
    <w:rsid w:val="00ED7C45"/>
    <w:rsid w:val="00EE006C"/>
    <w:rsid w:val="00EE0B6B"/>
    <w:rsid w:val="00EE49F7"/>
    <w:rsid w:val="00F13FD8"/>
    <w:rsid w:val="00F143B8"/>
    <w:rsid w:val="00F226B0"/>
    <w:rsid w:val="00F227D4"/>
    <w:rsid w:val="00F306C7"/>
    <w:rsid w:val="00F36F6D"/>
    <w:rsid w:val="00F3740A"/>
    <w:rsid w:val="00F5377A"/>
    <w:rsid w:val="00F676FC"/>
    <w:rsid w:val="00F6772E"/>
    <w:rsid w:val="00F7025A"/>
    <w:rsid w:val="00F7665F"/>
    <w:rsid w:val="00FB332F"/>
    <w:rsid w:val="00FB4884"/>
    <w:rsid w:val="00FB6776"/>
    <w:rsid w:val="00FC77C8"/>
    <w:rsid w:val="00FD4C57"/>
    <w:rsid w:val="00FD63AA"/>
    <w:rsid w:val="00FD75F4"/>
    <w:rsid w:val="00FE5027"/>
    <w:rsid w:val="00FF5FE6"/>
    <w:rsid w:val="00FF6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5F5C"/>
  <w15:chartTrackingRefBased/>
  <w15:docId w15:val="{4D76C60F-1212-1340-AC07-197D1474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30"/>
    <w:rPr>
      <w:rFonts w:ascii="Arial" w:eastAsia="Arial" w:hAnsi="Arial" w:cs="Arial"/>
      <w:kern w:val="0"/>
      <w:sz w:val="22"/>
      <w:lang w:eastAsia="zh-CN"/>
      <w14:ligatures w14:val="none"/>
    </w:rPr>
  </w:style>
  <w:style w:type="paragraph" w:styleId="Heading1">
    <w:name w:val="heading 1"/>
    <w:basedOn w:val="Normal"/>
    <w:next w:val="Normal"/>
    <w:link w:val="Heading1Char"/>
    <w:uiPriority w:val="9"/>
    <w:qFormat/>
    <w:rsid w:val="00921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B30"/>
    <w:rPr>
      <w:rFonts w:eastAsiaTheme="majorEastAsia" w:cstheme="majorBidi"/>
      <w:color w:val="272727" w:themeColor="text1" w:themeTint="D8"/>
    </w:rPr>
  </w:style>
  <w:style w:type="paragraph" w:styleId="Title">
    <w:name w:val="Title"/>
    <w:basedOn w:val="Normal"/>
    <w:next w:val="Normal"/>
    <w:link w:val="TitleChar"/>
    <w:uiPriority w:val="10"/>
    <w:qFormat/>
    <w:rsid w:val="00921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B30"/>
    <w:rPr>
      <w:i/>
      <w:iCs/>
      <w:color w:val="404040" w:themeColor="text1" w:themeTint="BF"/>
    </w:rPr>
  </w:style>
  <w:style w:type="paragraph" w:styleId="ListParagraph">
    <w:name w:val="List Paragraph"/>
    <w:basedOn w:val="Normal"/>
    <w:uiPriority w:val="34"/>
    <w:qFormat/>
    <w:rsid w:val="00921B30"/>
    <w:pPr>
      <w:ind w:left="720"/>
      <w:contextualSpacing/>
    </w:pPr>
  </w:style>
  <w:style w:type="character" w:styleId="IntenseEmphasis">
    <w:name w:val="Intense Emphasis"/>
    <w:basedOn w:val="DefaultParagraphFont"/>
    <w:uiPriority w:val="21"/>
    <w:qFormat/>
    <w:rsid w:val="00921B30"/>
    <w:rPr>
      <w:i/>
      <w:iCs/>
      <w:color w:val="0F4761" w:themeColor="accent1" w:themeShade="BF"/>
    </w:rPr>
  </w:style>
  <w:style w:type="paragraph" w:styleId="IntenseQuote">
    <w:name w:val="Intense Quote"/>
    <w:basedOn w:val="Normal"/>
    <w:next w:val="Normal"/>
    <w:link w:val="IntenseQuoteChar"/>
    <w:uiPriority w:val="30"/>
    <w:qFormat/>
    <w:rsid w:val="00921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B30"/>
    <w:rPr>
      <w:i/>
      <w:iCs/>
      <w:color w:val="0F4761" w:themeColor="accent1" w:themeShade="BF"/>
    </w:rPr>
  </w:style>
  <w:style w:type="character" w:styleId="IntenseReference">
    <w:name w:val="Intense Reference"/>
    <w:basedOn w:val="DefaultParagraphFont"/>
    <w:uiPriority w:val="32"/>
    <w:qFormat/>
    <w:rsid w:val="00921B30"/>
    <w:rPr>
      <w:b/>
      <w:bCs/>
      <w:smallCaps/>
      <w:color w:val="0F4761" w:themeColor="accent1" w:themeShade="BF"/>
      <w:spacing w:val="5"/>
    </w:rPr>
  </w:style>
  <w:style w:type="paragraph" w:styleId="Header">
    <w:name w:val="header"/>
    <w:basedOn w:val="Normal"/>
    <w:link w:val="HeaderChar"/>
    <w:uiPriority w:val="99"/>
    <w:unhideWhenUsed/>
    <w:rsid w:val="00921B30"/>
    <w:pPr>
      <w:tabs>
        <w:tab w:val="center" w:pos="4513"/>
        <w:tab w:val="right" w:pos="9026"/>
      </w:tabs>
    </w:pPr>
  </w:style>
  <w:style w:type="character" w:customStyle="1" w:styleId="HeaderChar">
    <w:name w:val="Header Char"/>
    <w:basedOn w:val="DefaultParagraphFont"/>
    <w:link w:val="Header"/>
    <w:uiPriority w:val="99"/>
    <w:rsid w:val="00921B30"/>
  </w:style>
  <w:style w:type="paragraph" w:styleId="Footer">
    <w:name w:val="footer"/>
    <w:basedOn w:val="Normal"/>
    <w:link w:val="FooterChar"/>
    <w:uiPriority w:val="99"/>
    <w:unhideWhenUsed/>
    <w:rsid w:val="00921B30"/>
    <w:pPr>
      <w:tabs>
        <w:tab w:val="center" w:pos="4513"/>
        <w:tab w:val="right" w:pos="9026"/>
      </w:tabs>
    </w:pPr>
  </w:style>
  <w:style w:type="character" w:customStyle="1" w:styleId="FooterChar">
    <w:name w:val="Footer Char"/>
    <w:basedOn w:val="DefaultParagraphFont"/>
    <w:link w:val="Footer"/>
    <w:uiPriority w:val="99"/>
    <w:rsid w:val="00921B30"/>
  </w:style>
  <w:style w:type="character" w:styleId="PageNumber">
    <w:name w:val="page number"/>
    <w:basedOn w:val="DefaultParagraphFont"/>
    <w:uiPriority w:val="99"/>
    <w:semiHidden/>
    <w:unhideWhenUsed/>
    <w:rsid w:val="00921B30"/>
  </w:style>
  <w:style w:type="character" w:styleId="CommentReference">
    <w:name w:val="annotation reference"/>
    <w:semiHidden/>
    <w:rsid w:val="00921B30"/>
    <w:rPr>
      <w:sz w:val="16"/>
      <w:szCs w:val="16"/>
    </w:rPr>
  </w:style>
  <w:style w:type="paragraph" w:styleId="CommentText">
    <w:name w:val="annotation text"/>
    <w:basedOn w:val="Normal"/>
    <w:link w:val="CommentTextChar"/>
    <w:semiHidden/>
    <w:rsid w:val="00921B30"/>
    <w:rPr>
      <w:sz w:val="20"/>
      <w:szCs w:val="20"/>
    </w:rPr>
  </w:style>
  <w:style w:type="character" w:customStyle="1" w:styleId="CommentTextChar">
    <w:name w:val="Comment Text Char"/>
    <w:basedOn w:val="DefaultParagraphFont"/>
    <w:link w:val="CommentText"/>
    <w:semiHidden/>
    <w:rsid w:val="00921B30"/>
    <w:rPr>
      <w:rFonts w:ascii="Arial" w:eastAsia="Arial" w:hAnsi="Arial" w:cs="Arial"/>
      <w:kern w:val="0"/>
      <w:sz w:val="20"/>
      <w:szCs w:val="20"/>
      <w:lang w:eastAsia="zh-CN"/>
      <w14:ligatures w14:val="none"/>
    </w:rPr>
  </w:style>
  <w:style w:type="table" w:styleId="TableGrid">
    <w:name w:val="Table Grid"/>
    <w:basedOn w:val="TableNormal"/>
    <w:uiPriority w:val="39"/>
    <w:rsid w:val="0092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3596"/>
    <w:rPr>
      <w:color w:val="467886" w:themeColor="hyperlink"/>
      <w:u w:val="single"/>
    </w:rPr>
  </w:style>
  <w:style w:type="character" w:styleId="UnresolvedMention">
    <w:name w:val="Unresolved Mention"/>
    <w:basedOn w:val="DefaultParagraphFont"/>
    <w:uiPriority w:val="99"/>
    <w:semiHidden/>
    <w:unhideWhenUsed/>
    <w:rsid w:val="001435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874B6"/>
    <w:rPr>
      <w:b/>
      <w:bCs/>
    </w:rPr>
  </w:style>
  <w:style w:type="character" w:customStyle="1" w:styleId="CommentSubjectChar">
    <w:name w:val="Comment Subject Char"/>
    <w:basedOn w:val="CommentTextChar"/>
    <w:link w:val="CommentSubject"/>
    <w:uiPriority w:val="99"/>
    <w:semiHidden/>
    <w:rsid w:val="008874B6"/>
    <w:rPr>
      <w:rFonts w:ascii="Arial" w:eastAsia="Arial" w:hAnsi="Arial" w:cs="Arial"/>
      <w:b/>
      <w:bCs/>
      <w:kern w:val="0"/>
      <w:sz w:val="20"/>
      <w:szCs w:val="20"/>
      <w:lang w:eastAsia="zh-CN"/>
      <w14:ligatures w14:val="none"/>
    </w:rPr>
  </w:style>
  <w:style w:type="paragraph" w:styleId="Revision">
    <w:name w:val="Revision"/>
    <w:hidden/>
    <w:uiPriority w:val="99"/>
    <w:semiHidden/>
    <w:rsid w:val="0051501A"/>
    <w:rPr>
      <w:rFonts w:ascii="Arial" w:eastAsia="Arial" w:hAnsi="Arial" w:cs="Arial"/>
      <w:kern w:val="0"/>
      <w:sz w:val="22"/>
      <w:lang w:eastAsia="zh-CN"/>
      <w14:ligatures w14:val="none"/>
    </w:rPr>
  </w:style>
  <w:style w:type="paragraph" w:customStyle="1" w:styleId="p1">
    <w:name w:val="p1"/>
    <w:basedOn w:val="Normal"/>
    <w:rsid w:val="00EA47B9"/>
    <w:rPr>
      <w:rFonts w:ascii="Helvetica" w:eastAsia="Times New Roman" w:hAnsi="Helvetica" w:cs="Times New Roman"/>
      <w:color w:val="141413"/>
      <w:sz w:val="14"/>
      <w:szCs w:val="14"/>
      <w:lang w:eastAsia="en-GB"/>
    </w:rPr>
  </w:style>
  <w:style w:type="paragraph" w:customStyle="1" w:styleId="p2">
    <w:name w:val="p2"/>
    <w:basedOn w:val="Normal"/>
    <w:rsid w:val="00EA47B9"/>
    <w:rPr>
      <w:rFonts w:ascii="Helvetica" w:eastAsia="Times New Roman" w:hAnsi="Helvetica" w:cs="Times New Roman"/>
      <w:color w:val="141413"/>
      <w:sz w:val="12"/>
      <w:szCs w:val="12"/>
      <w:lang w:eastAsia="en-GB"/>
    </w:rPr>
  </w:style>
  <w:style w:type="paragraph" w:customStyle="1" w:styleId="p3">
    <w:name w:val="p3"/>
    <w:basedOn w:val="Normal"/>
    <w:rsid w:val="00EA47B9"/>
    <w:rPr>
      <w:rFonts w:ascii="Helvetica" w:eastAsia="Times New Roman" w:hAnsi="Helvetica" w:cs="Times New Roman"/>
      <w:color w:val="000000"/>
      <w:sz w:val="14"/>
      <w:szCs w:val="14"/>
      <w:lang w:eastAsia="en-GB"/>
    </w:rPr>
  </w:style>
  <w:style w:type="character" w:customStyle="1" w:styleId="s1">
    <w:name w:val="s1"/>
    <w:basedOn w:val="DefaultParagraphFont"/>
    <w:rsid w:val="00EA47B9"/>
    <w:rPr>
      <w:color w:val="0000FF"/>
    </w:rPr>
  </w:style>
  <w:style w:type="character" w:customStyle="1" w:styleId="s2">
    <w:name w:val="s2"/>
    <w:basedOn w:val="DefaultParagraphFont"/>
    <w:rsid w:val="00EA47B9"/>
    <w:rPr>
      <w:color w:val="141413"/>
    </w:rPr>
  </w:style>
  <w:style w:type="character" w:styleId="Strong">
    <w:name w:val="Strong"/>
    <w:basedOn w:val="DefaultParagraphFont"/>
    <w:uiPriority w:val="22"/>
    <w:qFormat/>
    <w:rsid w:val="00BD2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4113">
      <w:bodyDiv w:val="1"/>
      <w:marLeft w:val="0"/>
      <w:marRight w:val="0"/>
      <w:marTop w:val="0"/>
      <w:marBottom w:val="0"/>
      <w:divBdr>
        <w:top w:val="none" w:sz="0" w:space="0" w:color="auto"/>
        <w:left w:val="none" w:sz="0" w:space="0" w:color="auto"/>
        <w:bottom w:val="none" w:sz="0" w:space="0" w:color="auto"/>
        <w:right w:val="none" w:sz="0" w:space="0" w:color="auto"/>
      </w:divBdr>
    </w:div>
    <w:div w:id="430660123">
      <w:bodyDiv w:val="1"/>
      <w:marLeft w:val="0"/>
      <w:marRight w:val="0"/>
      <w:marTop w:val="0"/>
      <w:marBottom w:val="0"/>
      <w:divBdr>
        <w:top w:val="none" w:sz="0" w:space="0" w:color="auto"/>
        <w:left w:val="none" w:sz="0" w:space="0" w:color="auto"/>
        <w:bottom w:val="none" w:sz="0" w:space="0" w:color="auto"/>
        <w:right w:val="none" w:sz="0" w:space="0" w:color="auto"/>
      </w:divBdr>
    </w:div>
    <w:div w:id="597639169">
      <w:bodyDiv w:val="1"/>
      <w:marLeft w:val="0"/>
      <w:marRight w:val="0"/>
      <w:marTop w:val="0"/>
      <w:marBottom w:val="0"/>
      <w:divBdr>
        <w:top w:val="none" w:sz="0" w:space="0" w:color="auto"/>
        <w:left w:val="none" w:sz="0" w:space="0" w:color="auto"/>
        <w:bottom w:val="none" w:sz="0" w:space="0" w:color="auto"/>
        <w:right w:val="none" w:sz="0" w:space="0" w:color="auto"/>
      </w:divBdr>
    </w:div>
    <w:div w:id="661010225">
      <w:bodyDiv w:val="1"/>
      <w:marLeft w:val="0"/>
      <w:marRight w:val="0"/>
      <w:marTop w:val="0"/>
      <w:marBottom w:val="0"/>
      <w:divBdr>
        <w:top w:val="none" w:sz="0" w:space="0" w:color="auto"/>
        <w:left w:val="none" w:sz="0" w:space="0" w:color="auto"/>
        <w:bottom w:val="none" w:sz="0" w:space="0" w:color="auto"/>
        <w:right w:val="none" w:sz="0" w:space="0" w:color="auto"/>
      </w:divBdr>
    </w:div>
    <w:div w:id="747531562">
      <w:bodyDiv w:val="1"/>
      <w:marLeft w:val="0"/>
      <w:marRight w:val="0"/>
      <w:marTop w:val="0"/>
      <w:marBottom w:val="0"/>
      <w:divBdr>
        <w:top w:val="none" w:sz="0" w:space="0" w:color="auto"/>
        <w:left w:val="none" w:sz="0" w:space="0" w:color="auto"/>
        <w:bottom w:val="none" w:sz="0" w:space="0" w:color="auto"/>
        <w:right w:val="none" w:sz="0" w:space="0" w:color="auto"/>
      </w:divBdr>
    </w:div>
    <w:div w:id="768282036">
      <w:bodyDiv w:val="1"/>
      <w:marLeft w:val="0"/>
      <w:marRight w:val="0"/>
      <w:marTop w:val="0"/>
      <w:marBottom w:val="0"/>
      <w:divBdr>
        <w:top w:val="none" w:sz="0" w:space="0" w:color="auto"/>
        <w:left w:val="none" w:sz="0" w:space="0" w:color="auto"/>
        <w:bottom w:val="none" w:sz="0" w:space="0" w:color="auto"/>
        <w:right w:val="none" w:sz="0" w:space="0" w:color="auto"/>
      </w:divBdr>
    </w:div>
    <w:div w:id="837771136">
      <w:bodyDiv w:val="1"/>
      <w:marLeft w:val="0"/>
      <w:marRight w:val="0"/>
      <w:marTop w:val="0"/>
      <w:marBottom w:val="0"/>
      <w:divBdr>
        <w:top w:val="none" w:sz="0" w:space="0" w:color="auto"/>
        <w:left w:val="none" w:sz="0" w:space="0" w:color="auto"/>
        <w:bottom w:val="none" w:sz="0" w:space="0" w:color="auto"/>
        <w:right w:val="none" w:sz="0" w:space="0" w:color="auto"/>
      </w:divBdr>
    </w:div>
    <w:div w:id="856653147">
      <w:bodyDiv w:val="1"/>
      <w:marLeft w:val="0"/>
      <w:marRight w:val="0"/>
      <w:marTop w:val="0"/>
      <w:marBottom w:val="0"/>
      <w:divBdr>
        <w:top w:val="none" w:sz="0" w:space="0" w:color="auto"/>
        <w:left w:val="none" w:sz="0" w:space="0" w:color="auto"/>
        <w:bottom w:val="none" w:sz="0" w:space="0" w:color="auto"/>
        <w:right w:val="none" w:sz="0" w:space="0" w:color="auto"/>
      </w:divBdr>
    </w:div>
    <w:div w:id="878711168">
      <w:bodyDiv w:val="1"/>
      <w:marLeft w:val="0"/>
      <w:marRight w:val="0"/>
      <w:marTop w:val="0"/>
      <w:marBottom w:val="0"/>
      <w:divBdr>
        <w:top w:val="none" w:sz="0" w:space="0" w:color="auto"/>
        <w:left w:val="none" w:sz="0" w:space="0" w:color="auto"/>
        <w:bottom w:val="none" w:sz="0" w:space="0" w:color="auto"/>
        <w:right w:val="none" w:sz="0" w:space="0" w:color="auto"/>
      </w:divBdr>
    </w:div>
    <w:div w:id="1049302076">
      <w:bodyDiv w:val="1"/>
      <w:marLeft w:val="0"/>
      <w:marRight w:val="0"/>
      <w:marTop w:val="0"/>
      <w:marBottom w:val="0"/>
      <w:divBdr>
        <w:top w:val="none" w:sz="0" w:space="0" w:color="auto"/>
        <w:left w:val="none" w:sz="0" w:space="0" w:color="auto"/>
        <w:bottom w:val="none" w:sz="0" w:space="0" w:color="auto"/>
        <w:right w:val="none" w:sz="0" w:space="0" w:color="auto"/>
      </w:divBdr>
    </w:div>
    <w:div w:id="1356804478">
      <w:bodyDiv w:val="1"/>
      <w:marLeft w:val="0"/>
      <w:marRight w:val="0"/>
      <w:marTop w:val="0"/>
      <w:marBottom w:val="0"/>
      <w:divBdr>
        <w:top w:val="none" w:sz="0" w:space="0" w:color="auto"/>
        <w:left w:val="none" w:sz="0" w:space="0" w:color="auto"/>
        <w:bottom w:val="none" w:sz="0" w:space="0" w:color="auto"/>
        <w:right w:val="none" w:sz="0" w:space="0" w:color="auto"/>
      </w:divBdr>
    </w:div>
    <w:div w:id="1373189299">
      <w:bodyDiv w:val="1"/>
      <w:marLeft w:val="0"/>
      <w:marRight w:val="0"/>
      <w:marTop w:val="0"/>
      <w:marBottom w:val="0"/>
      <w:divBdr>
        <w:top w:val="none" w:sz="0" w:space="0" w:color="auto"/>
        <w:left w:val="none" w:sz="0" w:space="0" w:color="auto"/>
        <w:bottom w:val="none" w:sz="0" w:space="0" w:color="auto"/>
        <w:right w:val="none" w:sz="0" w:space="0" w:color="auto"/>
      </w:divBdr>
    </w:div>
    <w:div w:id="1440418871">
      <w:bodyDiv w:val="1"/>
      <w:marLeft w:val="0"/>
      <w:marRight w:val="0"/>
      <w:marTop w:val="0"/>
      <w:marBottom w:val="0"/>
      <w:divBdr>
        <w:top w:val="none" w:sz="0" w:space="0" w:color="auto"/>
        <w:left w:val="none" w:sz="0" w:space="0" w:color="auto"/>
        <w:bottom w:val="none" w:sz="0" w:space="0" w:color="auto"/>
        <w:right w:val="none" w:sz="0" w:space="0" w:color="auto"/>
      </w:divBdr>
    </w:div>
    <w:div w:id="1487084447">
      <w:bodyDiv w:val="1"/>
      <w:marLeft w:val="0"/>
      <w:marRight w:val="0"/>
      <w:marTop w:val="0"/>
      <w:marBottom w:val="0"/>
      <w:divBdr>
        <w:top w:val="none" w:sz="0" w:space="0" w:color="auto"/>
        <w:left w:val="none" w:sz="0" w:space="0" w:color="auto"/>
        <w:bottom w:val="none" w:sz="0" w:space="0" w:color="auto"/>
        <w:right w:val="none" w:sz="0" w:space="0" w:color="auto"/>
      </w:divBdr>
    </w:div>
    <w:div w:id="1581713459">
      <w:bodyDiv w:val="1"/>
      <w:marLeft w:val="0"/>
      <w:marRight w:val="0"/>
      <w:marTop w:val="0"/>
      <w:marBottom w:val="0"/>
      <w:divBdr>
        <w:top w:val="none" w:sz="0" w:space="0" w:color="auto"/>
        <w:left w:val="none" w:sz="0" w:space="0" w:color="auto"/>
        <w:bottom w:val="none" w:sz="0" w:space="0" w:color="auto"/>
        <w:right w:val="none" w:sz="0" w:space="0" w:color="auto"/>
      </w:divBdr>
    </w:div>
    <w:div w:id="1678582479">
      <w:bodyDiv w:val="1"/>
      <w:marLeft w:val="0"/>
      <w:marRight w:val="0"/>
      <w:marTop w:val="0"/>
      <w:marBottom w:val="0"/>
      <w:divBdr>
        <w:top w:val="none" w:sz="0" w:space="0" w:color="auto"/>
        <w:left w:val="none" w:sz="0" w:space="0" w:color="auto"/>
        <w:bottom w:val="none" w:sz="0" w:space="0" w:color="auto"/>
        <w:right w:val="none" w:sz="0" w:space="0" w:color="auto"/>
      </w:divBdr>
    </w:div>
    <w:div w:id="1922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880C-CFD8-544A-91AE-9967A12F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Hewson (staff)</dc:creator>
  <cp:keywords/>
  <dc:description/>
  <cp:lastModifiedBy>Alan Macfarlane</cp:lastModifiedBy>
  <cp:revision>2</cp:revision>
  <dcterms:created xsi:type="dcterms:W3CDTF">2026-04-21T09:32:00Z</dcterms:created>
  <dcterms:modified xsi:type="dcterms:W3CDTF">2026-04-21T09:32:00Z</dcterms:modified>
</cp:coreProperties>
</file>