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2673"/>
        <w:gridCol w:w="2057"/>
        <w:gridCol w:w="1008"/>
        <w:gridCol w:w="1010"/>
        <w:gridCol w:w="1842"/>
        <w:gridCol w:w="1677"/>
        <w:gridCol w:w="1815"/>
        <w:gridCol w:w="2590"/>
      </w:tblGrid>
      <w:tr w:rsidR="00986718" w:rsidRPr="00C7466A" w14:paraId="3BA456C4" w14:textId="77777777" w:rsidTr="00900DC1">
        <w:trPr>
          <w:trHeight w:val="394"/>
        </w:trPr>
        <w:tc>
          <w:tcPr>
            <w:tcW w:w="15388" w:type="dxa"/>
            <w:gridSpan w:val="9"/>
            <w:shd w:val="clear" w:color="auto" w:fill="BDD6EE"/>
            <w:vAlign w:val="center"/>
          </w:tcPr>
          <w:p w14:paraId="4F48EC76" w14:textId="77777777" w:rsidR="00986718" w:rsidRPr="00C7466A" w:rsidRDefault="00986718" w:rsidP="00C7466A">
            <w:pPr>
              <w:spacing w:after="0" w:line="240" w:lineRule="auto"/>
              <w:jc w:val="center"/>
              <w:rPr>
                <w:rFonts w:cs="Calibri"/>
                <w:b/>
                <w:szCs w:val="20"/>
              </w:rPr>
            </w:pPr>
            <w:r w:rsidRPr="00C7466A">
              <w:rPr>
                <w:rFonts w:cs="Calibri"/>
                <w:b/>
                <w:szCs w:val="20"/>
              </w:rPr>
              <w:t>Provider line of sight table on report recommendations for submission to the funders</w:t>
            </w:r>
          </w:p>
        </w:tc>
      </w:tr>
      <w:tr w:rsidR="00986718" w:rsidRPr="00C7466A" w14:paraId="0CDCCFA4" w14:textId="77777777" w:rsidTr="00900DC1">
        <w:tc>
          <w:tcPr>
            <w:tcW w:w="15388" w:type="dxa"/>
            <w:gridSpan w:val="9"/>
            <w:shd w:val="clear" w:color="auto" w:fill="BDD6EE"/>
          </w:tcPr>
          <w:p w14:paraId="2AA16643" w14:textId="77777777" w:rsidR="00986718" w:rsidRPr="00C7466A" w:rsidRDefault="00986718" w:rsidP="00C7466A">
            <w:pPr>
              <w:spacing w:after="0" w:line="240" w:lineRule="auto"/>
              <w:rPr>
                <w:rFonts w:cs="Calibri"/>
                <w:b/>
              </w:rPr>
            </w:pPr>
            <w:r w:rsidRPr="00C7466A">
              <w:rPr>
                <w:rFonts w:cs="Calibri"/>
                <w:b/>
              </w:rPr>
              <w:t>Please can the provider complete the following details to allow for ease of access and rapid review</w:t>
            </w:r>
          </w:p>
        </w:tc>
      </w:tr>
      <w:tr w:rsidR="00603F1B" w:rsidRPr="00C7466A" w14:paraId="4342B325" w14:textId="77777777" w:rsidTr="002F0D92">
        <w:trPr>
          <w:trHeight w:val="693"/>
        </w:trPr>
        <w:tc>
          <w:tcPr>
            <w:tcW w:w="6454" w:type="dxa"/>
            <w:gridSpan w:val="4"/>
            <w:shd w:val="clear" w:color="auto" w:fill="DEEAF6"/>
            <w:vAlign w:val="center"/>
          </w:tcPr>
          <w:p w14:paraId="0E167C01" w14:textId="377D1BF3" w:rsidR="00986718" w:rsidRDefault="00986718" w:rsidP="00C3059E">
            <w:pPr>
              <w:pStyle w:val="ListParagraph"/>
              <w:spacing w:after="0" w:line="240" w:lineRule="auto"/>
              <w:ind w:left="0"/>
              <w:rPr>
                <w:rFonts w:eastAsia="Times New Roman"/>
                <w:b/>
              </w:rPr>
            </w:pPr>
            <w:r>
              <w:rPr>
                <w:rFonts w:eastAsia="Times New Roman"/>
                <w:b/>
              </w:rPr>
              <w:t>Project and Title of report, i</w:t>
            </w:r>
            <w:r w:rsidRPr="00C3059E">
              <w:rPr>
                <w:rFonts w:eastAsia="Times New Roman"/>
                <w:b/>
              </w:rPr>
              <w:t>nc</w:t>
            </w:r>
            <w:r>
              <w:rPr>
                <w:rFonts w:eastAsia="Times New Roman"/>
                <w:b/>
              </w:rPr>
              <w:t>luding HQIP R</w:t>
            </w:r>
            <w:r w:rsidR="004355A5">
              <w:rPr>
                <w:rFonts w:eastAsia="Times New Roman"/>
                <w:b/>
              </w:rPr>
              <w:t>ef.</w:t>
            </w:r>
          </w:p>
          <w:p w14:paraId="0F9FF966" w14:textId="445F4413" w:rsidR="00986718" w:rsidRPr="00C3059E" w:rsidRDefault="00B334DC" w:rsidP="00C3059E">
            <w:pPr>
              <w:pStyle w:val="ListParagraph"/>
              <w:spacing w:after="0" w:line="240" w:lineRule="auto"/>
              <w:ind w:left="0"/>
              <w:rPr>
                <w:rFonts w:eastAsia="Times New Roman"/>
                <w:b/>
              </w:rPr>
            </w:pPr>
            <w:r w:rsidRPr="00C3059E">
              <w:rPr>
                <w:rFonts w:eastAsia="Times New Roman"/>
                <w:b/>
                <w:i/>
              </w:rPr>
              <w:t>e.g.,</w:t>
            </w:r>
            <w:r w:rsidR="00986718" w:rsidRPr="00C3059E">
              <w:rPr>
                <w:rFonts w:eastAsia="Times New Roman"/>
                <w:b/>
                <w:i/>
              </w:rPr>
              <w:t xml:space="preserve"> R</w:t>
            </w:r>
            <w:r w:rsidR="004355A5">
              <w:rPr>
                <w:rFonts w:eastAsia="Times New Roman"/>
                <w:b/>
                <w:i/>
              </w:rPr>
              <w:t>ef.</w:t>
            </w:r>
            <w:r w:rsidR="00986718" w:rsidRPr="00C3059E">
              <w:rPr>
                <w:rFonts w:eastAsia="Times New Roman"/>
                <w:b/>
                <w:i/>
              </w:rPr>
              <w:t xml:space="preserve"> X</w:t>
            </w:r>
            <w:r w:rsidR="004355A5">
              <w:rPr>
                <w:rFonts w:eastAsia="Times New Roman"/>
                <w:b/>
                <w:i/>
              </w:rPr>
              <w:t>X</w:t>
            </w:r>
            <w:r w:rsidR="00986718" w:rsidRPr="00C3059E">
              <w:rPr>
                <w:rFonts w:eastAsia="Times New Roman"/>
                <w:b/>
                <w:i/>
              </w:rPr>
              <w:t xml:space="preserve">X, Project and </w:t>
            </w:r>
            <w:r w:rsidR="004355A5">
              <w:rPr>
                <w:rFonts w:eastAsia="Times New Roman"/>
                <w:b/>
                <w:i/>
              </w:rPr>
              <w:t>r</w:t>
            </w:r>
            <w:r w:rsidR="00986718" w:rsidRPr="00C3059E">
              <w:rPr>
                <w:rFonts w:eastAsia="Times New Roman"/>
                <w:b/>
                <w:i/>
              </w:rPr>
              <w:t>eport title</w:t>
            </w:r>
          </w:p>
        </w:tc>
        <w:tc>
          <w:tcPr>
            <w:tcW w:w="8934" w:type="dxa"/>
            <w:gridSpan w:val="5"/>
            <w:shd w:val="clear" w:color="auto" w:fill="F2F2F2"/>
          </w:tcPr>
          <w:p w14:paraId="02C4CED7" w14:textId="77777777" w:rsidR="00006869" w:rsidRPr="00803556" w:rsidRDefault="00006869" w:rsidP="00006869">
            <w:pPr>
              <w:spacing w:line="276" w:lineRule="auto"/>
            </w:pPr>
            <w:r>
              <w:t xml:space="preserve">Ref 605, National Emergency Laparotomy Audit, </w:t>
            </w:r>
            <w:r w:rsidRPr="00803556">
              <w:t>Tenth Patient Report of the National</w:t>
            </w:r>
          </w:p>
          <w:p w14:paraId="072F7907" w14:textId="533FCADF" w:rsidR="00986718" w:rsidRPr="00C7466A" w:rsidRDefault="00006869" w:rsidP="00006869">
            <w:pPr>
              <w:spacing w:after="0" w:line="240" w:lineRule="auto"/>
              <w:rPr>
                <w:rFonts w:cs="Calibri"/>
                <w:b/>
              </w:rPr>
            </w:pPr>
            <w:r w:rsidRPr="00803556">
              <w:t>Emergency Laparotomy Audit,</w:t>
            </w:r>
            <w:r>
              <w:rPr>
                <w:b/>
                <w:bCs/>
              </w:rPr>
              <w:t xml:space="preserve"> </w:t>
            </w:r>
            <w:r w:rsidRPr="00803556">
              <w:t>April 2023 to April 2024</w:t>
            </w:r>
          </w:p>
        </w:tc>
      </w:tr>
      <w:tr w:rsidR="00603F1B" w:rsidRPr="00C7466A" w14:paraId="560A128E" w14:textId="77777777" w:rsidTr="002F0D92">
        <w:trPr>
          <w:trHeight w:val="404"/>
        </w:trPr>
        <w:tc>
          <w:tcPr>
            <w:tcW w:w="6454" w:type="dxa"/>
            <w:gridSpan w:val="4"/>
            <w:shd w:val="clear" w:color="auto" w:fill="DEEAF6"/>
            <w:vAlign w:val="center"/>
          </w:tcPr>
          <w:p w14:paraId="47B40788" w14:textId="6F323FAB" w:rsidR="00986718" w:rsidRPr="004355A5" w:rsidRDefault="00986718" w:rsidP="004355A5">
            <w:pPr>
              <w:pStyle w:val="ListParagraph"/>
              <w:numPr>
                <w:ilvl w:val="0"/>
                <w:numId w:val="4"/>
              </w:numPr>
              <w:spacing w:after="0" w:line="240" w:lineRule="auto"/>
              <w:rPr>
                <w:rFonts w:cs="Calibri"/>
                <w:b/>
              </w:rPr>
            </w:pPr>
            <w:r w:rsidRPr="00C7466A">
              <w:rPr>
                <w:rFonts w:eastAsia="Times New Roman"/>
              </w:rPr>
              <w:t>What is the report looking at/what is the project measuring?</w:t>
            </w:r>
          </w:p>
        </w:tc>
        <w:tc>
          <w:tcPr>
            <w:tcW w:w="8934" w:type="dxa"/>
            <w:gridSpan w:val="5"/>
            <w:shd w:val="clear" w:color="auto" w:fill="F2F2F2"/>
          </w:tcPr>
          <w:p w14:paraId="6091D7A1" w14:textId="0E7E8454" w:rsidR="00986718" w:rsidRPr="00C7466A" w:rsidRDefault="00006869" w:rsidP="00C7466A">
            <w:pPr>
              <w:spacing w:after="0" w:line="240" w:lineRule="auto"/>
              <w:rPr>
                <w:rFonts w:cs="Calibri"/>
                <w:b/>
              </w:rPr>
            </w:pPr>
            <w:r w:rsidRPr="00B46AC6">
              <w:rPr>
                <w:rFonts w:cs="Calibri"/>
                <w:b/>
              </w:rPr>
              <w:t>Clinical Audit of adult patients having emergency bowel surgery.</w:t>
            </w:r>
          </w:p>
        </w:tc>
      </w:tr>
      <w:tr w:rsidR="00603F1B" w:rsidRPr="00C7466A" w14:paraId="2C6563B3" w14:textId="77777777" w:rsidTr="002F0D92">
        <w:trPr>
          <w:trHeight w:val="410"/>
        </w:trPr>
        <w:tc>
          <w:tcPr>
            <w:tcW w:w="6454" w:type="dxa"/>
            <w:gridSpan w:val="4"/>
            <w:shd w:val="clear" w:color="auto" w:fill="DEEAF6"/>
            <w:vAlign w:val="center"/>
          </w:tcPr>
          <w:p w14:paraId="72FD01DF" w14:textId="652C3B11" w:rsidR="00986718" w:rsidRPr="004355A5" w:rsidRDefault="00986718" w:rsidP="004355A5">
            <w:pPr>
              <w:pStyle w:val="ListParagraph"/>
              <w:numPr>
                <w:ilvl w:val="0"/>
                <w:numId w:val="4"/>
              </w:numPr>
              <w:spacing w:after="0" w:line="240" w:lineRule="auto"/>
              <w:rPr>
                <w:rFonts w:cs="Calibri"/>
                <w:b/>
              </w:rPr>
            </w:pPr>
            <w:r w:rsidRPr="00C7466A">
              <w:rPr>
                <w:rFonts w:eastAsia="Times New Roman"/>
              </w:rPr>
              <w:t>What countries are covered?</w:t>
            </w:r>
          </w:p>
        </w:tc>
        <w:tc>
          <w:tcPr>
            <w:tcW w:w="8934" w:type="dxa"/>
            <w:gridSpan w:val="5"/>
            <w:shd w:val="clear" w:color="auto" w:fill="F2F2F2"/>
          </w:tcPr>
          <w:p w14:paraId="6F3DAEBC" w14:textId="27113FC1" w:rsidR="00986718" w:rsidRPr="00C7466A" w:rsidRDefault="00006869" w:rsidP="00C7466A">
            <w:pPr>
              <w:tabs>
                <w:tab w:val="left" w:pos="1155"/>
              </w:tabs>
              <w:spacing w:after="0" w:line="240" w:lineRule="auto"/>
              <w:rPr>
                <w:rFonts w:cs="Calibri"/>
                <w:b/>
              </w:rPr>
            </w:pPr>
            <w:r>
              <w:rPr>
                <w:rFonts w:cs="Calibri"/>
                <w:b/>
              </w:rPr>
              <w:t>England, Wales</w:t>
            </w:r>
          </w:p>
        </w:tc>
      </w:tr>
      <w:tr w:rsidR="00603F1B" w:rsidRPr="00C7466A" w14:paraId="2714FF62" w14:textId="77777777" w:rsidTr="002F0D92">
        <w:trPr>
          <w:trHeight w:val="700"/>
        </w:trPr>
        <w:tc>
          <w:tcPr>
            <w:tcW w:w="6454" w:type="dxa"/>
            <w:gridSpan w:val="4"/>
            <w:shd w:val="clear" w:color="auto" w:fill="DEEAF6"/>
            <w:vAlign w:val="center"/>
          </w:tcPr>
          <w:p w14:paraId="6D10E17E" w14:textId="45B7EB67" w:rsidR="00986718" w:rsidRPr="004355A5" w:rsidRDefault="00986718" w:rsidP="004355A5">
            <w:pPr>
              <w:numPr>
                <w:ilvl w:val="0"/>
                <w:numId w:val="4"/>
              </w:numPr>
              <w:spacing w:after="0" w:line="240" w:lineRule="auto"/>
              <w:rPr>
                <w:rFonts w:cs="Calibri"/>
                <w:b/>
              </w:rPr>
            </w:pPr>
            <w:r w:rsidRPr="00C7466A">
              <w:rPr>
                <w:rFonts w:eastAsia="Times New Roman"/>
              </w:rPr>
              <w:t>The number of previous projects (</w:t>
            </w:r>
            <w:r w:rsidR="00B334DC" w:rsidRPr="00C7466A">
              <w:rPr>
                <w:rFonts w:eastAsia="Times New Roman"/>
              </w:rPr>
              <w:t>e.g.,</w:t>
            </w:r>
            <w:r w:rsidRPr="00C7466A">
              <w:rPr>
                <w:rFonts w:eastAsia="Times New Roman"/>
              </w:rPr>
              <w:t xml:space="preserve"> whether it is the 4</w:t>
            </w:r>
            <w:r w:rsidRPr="00C7466A">
              <w:rPr>
                <w:rFonts w:eastAsia="Times New Roman"/>
                <w:vertAlign w:val="superscript"/>
              </w:rPr>
              <w:t>th</w:t>
            </w:r>
            <w:r w:rsidRPr="00C7466A">
              <w:rPr>
                <w:rFonts w:eastAsia="Times New Roman"/>
              </w:rPr>
              <w:t xml:space="preserve"> project or if it is a continuous project)</w:t>
            </w:r>
          </w:p>
        </w:tc>
        <w:tc>
          <w:tcPr>
            <w:tcW w:w="8934" w:type="dxa"/>
            <w:gridSpan w:val="5"/>
            <w:shd w:val="clear" w:color="auto" w:fill="F2F2F2"/>
          </w:tcPr>
          <w:p w14:paraId="3BA7953C" w14:textId="6D6E34AB" w:rsidR="00986718" w:rsidRPr="00C7466A" w:rsidRDefault="00006869" w:rsidP="00C7466A">
            <w:pPr>
              <w:spacing w:after="0" w:line="240" w:lineRule="auto"/>
              <w:rPr>
                <w:rFonts w:cs="Calibri"/>
                <w:b/>
              </w:rPr>
            </w:pPr>
            <w:r>
              <w:rPr>
                <w:rFonts w:cs="Calibri"/>
                <w:b/>
              </w:rPr>
              <w:t>Continuous project</w:t>
            </w:r>
          </w:p>
        </w:tc>
      </w:tr>
      <w:tr w:rsidR="00603F1B" w:rsidRPr="00C7466A" w14:paraId="7AEB77ED" w14:textId="77777777" w:rsidTr="002F0D92">
        <w:trPr>
          <w:trHeight w:val="710"/>
        </w:trPr>
        <w:tc>
          <w:tcPr>
            <w:tcW w:w="6454" w:type="dxa"/>
            <w:gridSpan w:val="4"/>
            <w:shd w:val="clear" w:color="auto" w:fill="DEEAF6"/>
            <w:vAlign w:val="center"/>
          </w:tcPr>
          <w:p w14:paraId="763A5603" w14:textId="7B60A05D" w:rsidR="00986718" w:rsidRPr="004355A5" w:rsidRDefault="00986718" w:rsidP="004355A5">
            <w:pPr>
              <w:numPr>
                <w:ilvl w:val="0"/>
                <w:numId w:val="4"/>
              </w:numPr>
              <w:spacing w:after="0" w:line="240" w:lineRule="auto"/>
              <w:rPr>
                <w:rFonts w:cs="Calibri"/>
                <w:b/>
              </w:rPr>
            </w:pPr>
            <w:r w:rsidRPr="00C7466A">
              <w:rPr>
                <w:rFonts w:eastAsia="Times New Roman"/>
              </w:rPr>
              <w:t xml:space="preserve">The date the data is related to (please include the start and end points – </w:t>
            </w:r>
            <w:r w:rsidR="00B334DC" w:rsidRPr="00C7466A">
              <w:rPr>
                <w:rFonts w:eastAsia="Times New Roman"/>
              </w:rPr>
              <w:t>e.g.,</w:t>
            </w:r>
            <w:r w:rsidRPr="00C7466A">
              <w:rPr>
                <w:rFonts w:eastAsia="Times New Roman"/>
              </w:rPr>
              <w:t xml:space="preserve"> from 1 January 2016 to 1 October 2016)</w:t>
            </w:r>
          </w:p>
        </w:tc>
        <w:tc>
          <w:tcPr>
            <w:tcW w:w="8934" w:type="dxa"/>
            <w:gridSpan w:val="5"/>
            <w:shd w:val="clear" w:color="auto" w:fill="F2F2F2"/>
          </w:tcPr>
          <w:p w14:paraId="3702A11C" w14:textId="06A7AA9D" w:rsidR="00986718" w:rsidRPr="00C7466A" w:rsidRDefault="00006869" w:rsidP="00C7466A">
            <w:pPr>
              <w:spacing w:after="0" w:line="240" w:lineRule="auto"/>
              <w:rPr>
                <w:rFonts w:cs="Calibri"/>
                <w:b/>
              </w:rPr>
            </w:pPr>
            <w:r>
              <w:rPr>
                <w:rFonts w:cs="Calibri"/>
                <w:b/>
              </w:rPr>
              <w:t>1 April 2023 – 23 April 2024</w:t>
            </w:r>
          </w:p>
        </w:tc>
      </w:tr>
      <w:tr w:rsidR="00603F1B" w:rsidRPr="00C7466A" w14:paraId="1DEC62CD" w14:textId="77777777" w:rsidTr="002F0D92">
        <w:trPr>
          <w:trHeight w:val="691"/>
        </w:trPr>
        <w:tc>
          <w:tcPr>
            <w:tcW w:w="6454" w:type="dxa"/>
            <w:gridSpan w:val="4"/>
            <w:shd w:val="clear" w:color="auto" w:fill="DEEAF6"/>
            <w:vAlign w:val="center"/>
          </w:tcPr>
          <w:p w14:paraId="4E71084F" w14:textId="52554A39" w:rsidR="00986718" w:rsidRPr="004355A5" w:rsidRDefault="00986718" w:rsidP="004355A5">
            <w:pPr>
              <w:numPr>
                <w:ilvl w:val="0"/>
                <w:numId w:val="4"/>
              </w:numPr>
              <w:spacing w:after="0" w:line="240" w:lineRule="auto"/>
              <w:rPr>
                <w:rFonts w:cs="Calibri"/>
                <w:b/>
              </w:rPr>
            </w:pPr>
            <w:r w:rsidRPr="00C7466A">
              <w:rPr>
                <w:rFonts w:eastAsia="Times New Roman"/>
              </w:rPr>
              <w:t>Any links to NHS England objectives or professional work-plans (only if you are aware of any)</w:t>
            </w:r>
          </w:p>
        </w:tc>
        <w:tc>
          <w:tcPr>
            <w:tcW w:w="8934" w:type="dxa"/>
            <w:gridSpan w:val="5"/>
            <w:shd w:val="clear" w:color="auto" w:fill="F2F2F2"/>
          </w:tcPr>
          <w:p w14:paraId="6158922B" w14:textId="77777777" w:rsidR="00986718" w:rsidRPr="00C7466A" w:rsidRDefault="00986718" w:rsidP="00C7466A">
            <w:pPr>
              <w:spacing w:after="0" w:line="240" w:lineRule="auto"/>
              <w:rPr>
                <w:rFonts w:cs="Calibri"/>
                <w:b/>
              </w:rPr>
            </w:pPr>
          </w:p>
        </w:tc>
      </w:tr>
      <w:tr w:rsidR="00603F1B" w:rsidRPr="00C7466A" w14:paraId="51E0DAFF" w14:textId="77777777" w:rsidTr="002F0D92">
        <w:tc>
          <w:tcPr>
            <w:tcW w:w="12798" w:type="dxa"/>
            <w:gridSpan w:val="8"/>
            <w:shd w:val="clear" w:color="auto" w:fill="BDD6EE"/>
          </w:tcPr>
          <w:p w14:paraId="10970A86" w14:textId="77777777" w:rsidR="00986718" w:rsidRPr="00C7466A" w:rsidRDefault="00986718" w:rsidP="00C7466A">
            <w:pPr>
              <w:spacing w:after="0" w:line="240" w:lineRule="auto"/>
              <w:rPr>
                <w:rFonts w:cs="Calibri"/>
                <w:b/>
              </w:rPr>
            </w:pPr>
            <w:r w:rsidRPr="00C7466A">
              <w:rPr>
                <w:rFonts w:cs="Calibri"/>
                <w:b/>
              </w:rPr>
              <w:t>Please can the provider complete the below for each recommendation in the report</w:t>
            </w:r>
          </w:p>
        </w:tc>
        <w:tc>
          <w:tcPr>
            <w:tcW w:w="2590" w:type="dxa"/>
            <w:shd w:val="clear" w:color="auto" w:fill="BDD6EE"/>
          </w:tcPr>
          <w:p w14:paraId="0D7B6510" w14:textId="77777777" w:rsidR="00986718" w:rsidRPr="00C7466A" w:rsidRDefault="00986718" w:rsidP="00C7466A">
            <w:pPr>
              <w:spacing w:after="0" w:line="240" w:lineRule="auto"/>
              <w:rPr>
                <w:rFonts w:cs="Calibri"/>
                <w:b/>
              </w:rPr>
            </w:pPr>
          </w:p>
        </w:tc>
      </w:tr>
      <w:tr w:rsidR="00603F1B" w:rsidRPr="00C7466A" w14:paraId="33046F1C" w14:textId="77777777" w:rsidTr="002F0D92">
        <w:tc>
          <w:tcPr>
            <w:tcW w:w="716" w:type="dxa"/>
            <w:shd w:val="clear" w:color="auto" w:fill="DEEAF6"/>
          </w:tcPr>
          <w:p w14:paraId="3A3E4DB7" w14:textId="77777777" w:rsidR="00900DC1" w:rsidRPr="00C7466A" w:rsidRDefault="00900DC1" w:rsidP="00900DC1">
            <w:pPr>
              <w:spacing w:after="0" w:line="240" w:lineRule="auto"/>
              <w:rPr>
                <w:rFonts w:cs="Calibri"/>
                <w:b/>
              </w:rPr>
            </w:pPr>
            <w:r w:rsidRPr="00C7466A">
              <w:br w:type="page"/>
            </w:r>
            <w:r w:rsidRPr="00C7466A">
              <w:rPr>
                <w:rFonts w:cs="Calibri"/>
                <w:b/>
              </w:rPr>
              <w:t>No.</w:t>
            </w:r>
          </w:p>
        </w:tc>
        <w:tc>
          <w:tcPr>
            <w:tcW w:w="2673" w:type="dxa"/>
            <w:shd w:val="clear" w:color="auto" w:fill="DEEAF6"/>
          </w:tcPr>
          <w:p w14:paraId="03384099" w14:textId="77777777" w:rsidR="00900DC1" w:rsidRPr="00C7466A" w:rsidRDefault="00900DC1" w:rsidP="00900DC1">
            <w:pPr>
              <w:spacing w:after="0" w:line="240" w:lineRule="auto"/>
              <w:rPr>
                <w:rFonts w:cs="Calibri"/>
                <w:b/>
              </w:rPr>
            </w:pPr>
            <w:r w:rsidRPr="00C7466A">
              <w:rPr>
                <w:rFonts w:cs="Calibri"/>
                <w:b/>
              </w:rPr>
              <w:t>Recommendation</w:t>
            </w:r>
          </w:p>
        </w:tc>
        <w:tc>
          <w:tcPr>
            <w:tcW w:w="2057" w:type="dxa"/>
            <w:shd w:val="clear" w:color="auto" w:fill="DEEAF6"/>
          </w:tcPr>
          <w:p w14:paraId="2012DC44" w14:textId="77777777" w:rsidR="00900DC1" w:rsidRPr="00C7466A" w:rsidRDefault="00900DC1" w:rsidP="00900DC1">
            <w:pPr>
              <w:spacing w:after="0" w:line="240" w:lineRule="auto"/>
              <w:rPr>
                <w:rFonts w:cs="Calibri"/>
                <w:b/>
              </w:rPr>
            </w:pPr>
            <w:r>
              <w:rPr>
                <w:rFonts w:cs="Calibri"/>
                <w:b/>
              </w:rPr>
              <w:t>Intended audience for recommendation</w:t>
            </w:r>
          </w:p>
        </w:tc>
        <w:tc>
          <w:tcPr>
            <w:tcW w:w="2018" w:type="dxa"/>
            <w:gridSpan w:val="2"/>
            <w:shd w:val="clear" w:color="auto" w:fill="DEEAF6"/>
          </w:tcPr>
          <w:p w14:paraId="0E98D667" w14:textId="585960C2" w:rsidR="00900DC1" w:rsidRPr="00C7466A" w:rsidRDefault="00900DC1" w:rsidP="00900DC1">
            <w:pPr>
              <w:spacing w:after="0" w:line="240" w:lineRule="auto"/>
              <w:rPr>
                <w:rFonts w:cs="Calibri"/>
                <w:b/>
              </w:rPr>
            </w:pPr>
            <w:r w:rsidRPr="00C7466A">
              <w:rPr>
                <w:rFonts w:cs="Calibri"/>
                <w:b/>
              </w:rPr>
              <w:t>Evidence in the report which underpins the recommendation</w:t>
            </w:r>
            <w:r w:rsidR="004355A5">
              <w:rPr>
                <w:rFonts w:cs="Calibri"/>
                <w:b/>
              </w:rPr>
              <w:t xml:space="preserve"> </w:t>
            </w:r>
            <w:r w:rsidR="004355A5" w:rsidRPr="004355A5">
              <w:rPr>
                <w:rFonts w:cs="Calibri"/>
                <w:bCs/>
                <w:i/>
                <w:iCs/>
              </w:rPr>
              <w:t>(inc</w:t>
            </w:r>
            <w:r w:rsidR="004355A5">
              <w:rPr>
                <w:rFonts w:cs="Calibri"/>
                <w:bCs/>
                <w:i/>
                <w:iCs/>
              </w:rPr>
              <w:t>luding</w:t>
            </w:r>
            <w:r w:rsidR="004355A5" w:rsidRPr="004355A5">
              <w:rPr>
                <w:rFonts w:cs="Calibri"/>
                <w:bCs/>
                <w:i/>
                <w:iCs/>
              </w:rPr>
              <w:t xml:space="preserve"> page number)</w:t>
            </w:r>
          </w:p>
        </w:tc>
        <w:tc>
          <w:tcPr>
            <w:tcW w:w="1842" w:type="dxa"/>
            <w:shd w:val="clear" w:color="auto" w:fill="DEEAF6"/>
          </w:tcPr>
          <w:p w14:paraId="1865F2A8" w14:textId="77777777" w:rsidR="00900DC1" w:rsidRPr="00C7466A" w:rsidRDefault="00900DC1" w:rsidP="00900DC1">
            <w:pPr>
              <w:spacing w:after="0" w:line="240" w:lineRule="auto"/>
              <w:rPr>
                <w:rFonts w:cs="Calibri"/>
                <w:b/>
              </w:rPr>
            </w:pPr>
            <w:r w:rsidRPr="00C7466A">
              <w:rPr>
                <w:rFonts w:cs="Calibri"/>
                <w:b/>
              </w:rPr>
              <w:t xml:space="preserve">Current national audit benchmarking standard if there is one </w:t>
            </w:r>
          </w:p>
        </w:tc>
        <w:tc>
          <w:tcPr>
            <w:tcW w:w="1677" w:type="dxa"/>
            <w:shd w:val="clear" w:color="auto" w:fill="DEEAF6"/>
          </w:tcPr>
          <w:p w14:paraId="1A1AC437" w14:textId="77777777" w:rsidR="00900DC1" w:rsidRPr="00C7466A" w:rsidRDefault="00900DC1" w:rsidP="00900DC1">
            <w:pPr>
              <w:spacing w:after="0" w:line="240" w:lineRule="auto"/>
              <w:rPr>
                <w:rFonts w:cs="Calibri"/>
                <w:b/>
              </w:rPr>
            </w:pPr>
            <w:r w:rsidRPr="00C7466A">
              <w:rPr>
                <w:b/>
              </w:rPr>
              <w:t>Associated NHS payment levers or incentives’</w:t>
            </w:r>
          </w:p>
        </w:tc>
        <w:tc>
          <w:tcPr>
            <w:tcW w:w="1815" w:type="dxa"/>
            <w:shd w:val="clear" w:color="auto" w:fill="DEEAF6"/>
          </w:tcPr>
          <w:p w14:paraId="0FE639C4" w14:textId="77777777" w:rsidR="00900DC1" w:rsidRPr="00C7466A" w:rsidRDefault="00900DC1" w:rsidP="00900DC1">
            <w:pPr>
              <w:spacing w:after="0" w:line="240" w:lineRule="auto"/>
              <w:rPr>
                <w:rFonts w:cs="Calibri"/>
                <w:b/>
              </w:rPr>
            </w:pPr>
            <w:r w:rsidRPr="00C7466A">
              <w:rPr>
                <w:rFonts w:cs="Calibri"/>
                <w:b/>
              </w:rPr>
              <w:t>Guidance available (for example, NICE guideline)</w:t>
            </w:r>
          </w:p>
        </w:tc>
        <w:tc>
          <w:tcPr>
            <w:tcW w:w="2590" w:type="dxa"/>
            <w:shd w:val="clear" w:color="auto" w:fill="DEEAF6"/>
          </w:tcPr>
          <w:p w14:paraId="0E42C822" w14:textId="0B566360" w:rsidR="00900DC1" w:rsidRPr="00C7466A" w:rsidRDefault="00900DC1" w:rsidP="00900DC1">
            <w:pPr>
              <w:spacing w:after="0" w:line="240" w:lineRule="auto"/>
              <w:rPr>
                <w:rFonts w:cs="Calibri"/>
                <w:b/>
              </w:rPr>
            </w:pPr>
            <w:r w:rsidRPr="00C7466A">
              <w:rPr>
                <w:rFonts w:cs="Calibri"/>
                <w:b/>
              </w:rPr>
              <w:t xml:space="preserve">% project result if the question previously asked by the project (date asked and result). If not asked </w:t>
            </w:r>
            <w:proofErr w:type="gramStart"/>
            <w:r w:rsidRPr="00C7466A">
              <w:rPr>
                <w:rFonts w:cs="Calibri"/>
                <w:b/>
              </w:rPr>
              <w:t>before</w:t>
            </w:r>
            <w:proofErr w:type="gramEnd"/>
            <w:r w:rsidRPr="00C7466A">
              <w:rPr>
                <w:rFonts w:cs="Calibri"/>
                <w:b/>
              </w:rPr>
              <w:t xml:space="preserve"> please denote N/A. This is so that there is an indication of whether the result has increased or decreased and over what </w:t>
            </w:r>
            <w:proofErr w:type="gramStart"/>
            <w:r w:rsidRPr="00C7466A">
              <w:rPr>
                <w:rFonts w:cs="Calibri"/>
                <w:b/>
              </w:rPr>
              <w:t>period of time</w:t>
            </w:r>
            <w:proofErr w:type="gramEnd"/>
          </w:p>
        </w:tc>
      </w:tr>
      <w:tr w:rsidR="00C767AF" w:rsidRPr="00C7466A" w14:paraId="78C437CA" w14:textId="77777777" w:rsidTr="002F0D92">
        <w:tc>
          <w:tcPr>
            <w:tcW w:w="716" w:type="dxa"/>
          </w:tcPr>
          <w:p w14:paraId="643D5015" w14:textId="0E1C552B" w:rsidR="004355A5" w:rsidRPr="004355A5" w:rsidRDefault="008E7EE6" w:rsidP="00900DC1">
            <w:pPr>
              <w:spacing w:after="0" w:line="240" w:lineRule="auto"/>
              <w:rPr>
                <w:rFonts w:asciiTheme="minorHAnsi" w:hAnsiTheme="minorHAnsi" w:cstheme="minorHAnsi"/>
              </w:rPr>
            </w:pPr>
            <w:r>
              <w:rPr>
                <w:rFonts w:asciiTheme="minorHAnsi" w:hAnsiTheme="minorHAnsi" w:cstheme="minorHAnsi"/>
              </w:rPr>
              <w:t>1</w:t>
            </w:r>
          </w:p>
        </w:tc>
        <w:tc>
          <w:tcPr>
            <w:tcW w:w="2673" w:type="dxa"/>
          </w:tcPr>
          <w:p w14:paraId="1F3614D4" w14:textId="6A7804FA" w:rsidR="004355A5" w:rsidRPr="004355A5" w:rsidRDefault="008E7EE6" w:rsidP="00900DC1">
            <w:pPr>
              <w:spacing w:after="0" w:line="240" w:lineRule="auto"/>
              <w:rPr>
                <w:rFonts w:asciiTheme="minorHAnsi" w:hAnsiTheme="minorHAnsi" w:cstheme="minorHAnsi"/>
              </w:rPr>
            </w:pPr>
            <w:r>
              <w:rPr>
                <w:sz w:val="20"/>
                <w:szCs w:val="20"/>
              </w:rPr>
              <w:t>S</w:t>
            </w:r>
            <w:r w:rsidRPr="00B64C76">
              <w:rPr>
                <w:sz w:val="20"/>
                <w:szCs w:val="20"/>
              </w:rPr>
              <w:t xml:space="preserve">hould continue to work together to </w:t>
            </w:r>
            <w:r>
              <w:rPr>
                <w:sz w:val="20"/>
                <w:szCs w:val="20"/>
              </w:rPr>
              <w:t xml:space="preserve">update and </w:t>
            </w:r>
            <w:r w:rsidRPr="00B64C76">
              <w:rPr>
                <w:sz w:val="20"/>
                <w:szCs w:val="20"/>
              </w:rPr>
              <w:t>develop consensus pathways of care for patients</w:t>
            </w:r>
            <w:r>
              <w:rPr>
                <w:sz w:val="20"/>
                <w:szCs w:val="20"/>
              </w:rPr>
              <w:t xml:space="preserve"> who might require emergency abdominal surgery</w:t>
            </w:r>
            <w:r w:rsidRPr="00B64C76">
              <w:rPr>
                <w:sz w:val="20"/>
                <w:szCs w:val="20"/>
              </w:rPr>
              <w:t>. Pathways should contain statements around</w:t>
            </w:r>
            <w:r>
              <w:rPr>
                <w:sz w:val="20"/>
                <w:szCs w:val="20"/>
              </w:rPr>
              <w:t xml:space="preserve"> </w:t>
            </w:r>
            <w:r w:rsidRPr="00B64C76">
              <w:rPr>
                <w:sz w:val="20"/>
                <w:szCs w:val="20"/>
              </w:rPr>
              <w:t>seniority of key decision makers</w:t>
            </w:r>
            <w:r>
              <w:rPr>
                <w:sz w:val="20"/>
                <w:szCs w:val="20"/>
              </w:rPr>
              <w:t xml:space="preserve"> and</w:t>
            </w:r>
            <w:r w:rsidRPr="00B64C76">
              <w:rPr>
                <w:sz w:val="20"/>
                <w:szCs w:val="20"/>
              </w:rPr>
              <w:t xml:space="preserve"> ideal timeliness of key steps</w:t>
            </w:r>
            <w:r>
              <w:rPr>
                <w:sz w:val="20"/>
                <w:szCs w:val="20"/>
              </w:rPr>
              <w:t xml:space="preserve"> including antibiotic </w:t>
            </w:r>
            <w:r>
              <w:rPr>
                <w:sz w:val="20"/>
                <w:szCs w:val="20"/>
              </w:rPr>
              <w:lastRenderedPageBreak/>
              <w:t>administration and timing of definitive surgery</w:t>
            </w:r>
            <w:r w:rsidRPr="00B64C76">
              <w:rPr>
                <w:sz w:val="20"/>
                <w:szCs w:val="20"/>
              </w:rPr>
              <w:t>.</w:t>
            </w:r>
          </w:p>
        </w:tc>
        <w:tc>
          <w:tcPr>
            <w:tcW w:w="2057" w:type="dxa"/>
          </w:tcPr>
          <w:p w14:paraId="78C9C70E" w14:textId="36747AF9" w:rsidR="004355A5" w:rsidRPr="004355A5" w:rsidRDefault="008E7EE6" w:rsidP="00900DC1">
            <w:pPr>
              <w:spacing w:after="0" w:line="240" w:lineRule="auto"/>
              <w:rPr>
                <w:rFonts w:asciiTheme="minorHAnsi" w:hAnsiTheme="minorHAnsi" w:cstheme="minorHAnsi"/>
              </w:rPr>
            </w:pPr>
            <w:r w:rsidRPr="00B64C76">
              <w:rPr>
                <w:b/>
                <w:bCs/>
                <w:sz w:val="20"/>
                <w:szCs w:val="20"/>
              </w:rPr>
              <w:lastRenderedPageBreak/>
              <w:t xml:space="preserve">Royal College of Anaesthetists, Royal College of Emergency Medicine, </w:t>
            </w:r>
            <w:r>
              <w:rPr>
                <w:b/>
                <w:bCs/>
                <w:sz w:val="20"/>
                <w:szCs w:val="20"/>
              </w:rPr>
              <w:t xml:space="preserve">Royal College of Nursing, </w:t>
            </w:r>
            <w:r w:rsidRPr="00B64C76">
              <w:rPr>
                <w:b/>
                <w:bCs/>
                <w:sz w:val="20"/>
                <w:szCs w:val="20"/>
              </w:rPr>
              <w:t xml:space="preserve">Royal College of </w:t>
            </w:r>
            <w:r>
              <w:rPr>
                <w:b/>
                <w:bCs/>
                <w:sz w:val="20"/>
                <w:szCs w:val="20"/>
              </w:rPr>
              <w:t>Radiologists,</w:t>
            </w:r>
            <w:r w:rsidRPr="00B64C76">
              <w:rPr>
                <w:b/>
                <w:bCs/>
                <w:sz w:val="20"/>
                <w:szCs w:val="20"/>
              </w:rPr>
              <w:t xml:space="preserve"> and Royal College of Surgeons of England</w:t>
            </w:r>
          </w:p>
        </w:tc>
        <w:tc>
          <w:tcPr>
            <w:tcW w:w="2018" w:type="dxa"/>
            <w:gridSpan w:val="2"/>
          </w:tcPr>
          <w:p w14:paraId="0C9535F7" w14:textId="665D88DB" w:rsidR="004355A5" w:rsidRDefault="008E7EE6" w:rsidP="008E7EE6">
            <w:pPr>
              <w:pStyle w:val="ListParagraph"/>
              <w:numPr>
                <w:ilvl w:val="0"/>
                <w:numId w:val="5"/>
              </w:numPr>
              <w:spacing w:after="0" w:line="240" w:lineRule="auto"/>
              <w:ind w:left="387"/>
              <w:rPr>
                <w:rFonts w:asciiTheme="minorHAnsi" w:hAnsiTheme="minorHAnsi" w:cstheme="minorHAnsi"/>
              </w:rPr>
            </w:pPr>
            <w:r>
              <w:rPr>
                <w:rFonts w:asciiTheme="minorHAnsi" w:hAnsiTheme="minorHAnsi" w:cstheme="minorHAnsi"/>
              </w:rPr>
              <w:t xml:space="preserve">Page </w:t>
            </w:r>
            <w:r w:rsidR="00677636">
              <w:rPr>
                <w:rFonts w:asciiTheme="minorHAnsi" w:hAnsiTheme="minorHAnsi" w:cstheme="minorHAnsi"/>
              </w:rPr>
              <w:t>7</w:t>
            </w:r>
            <w:r>
              <w:rPr>
                <w:rFonts w:asciiTheme="minorHAnsi" w:hAnsiTheme="minorHAnsi" w:cstheme="minorHAnsi"/>
              </w:rPr>
              <w:t xml:space="preserve">: </w:t>
            </w:r>
            <w:r w:rsidRPr="008E7EE6">
              <w:rPr>
                <w:rFonts w:asciiTheme="minorHAnsi" w:hAnsiTheme="minorHAnsi" w:cstheme="minorHAnsi"/>
              </w:rPr>
              <w:t>Only 1,381 (8.4%)</w:t>
            </w:r>
            <w:r>
              <w:rPr>
                <w:rFonts w:asciiTheme="minorHAnsi" w:hAnsiTheme="minorHAnsi" w:cstheme="minorHAnsi"/>
              </w:rPr>
              <w:t xml:space="preserve"> ‘</w:t>
            </w:r>
            <w:r w:rsidRPr="008E7EE6">
              <w:rPr>
                <w:rFonts w:asciiTheme="minorHAnsi" w:hAnsiTheme="minorHAnsi" w:cstheme="minorHAnsi"/>
              </w:rPr>
              <w:t>RCS Immediat</w:t>
            </w:r>
            <w:r>
              <w:rPr>
                <w:rFonts w:asciiTheme="minorHAnsi" w:hAnsiTheme="minorHAnsi" w:cstheme="minorHAnsi"/>
              </w:rPr>
              <w:t xml:space="preserve">e’ </w:t>
            </w:r>
            <w:r w:rsidRPr="008E7EE6">
              <w:rPr>
                <w:rFonts w:asciiTheme="minorHAnsi" w:hAnsiTheme="minorHAnsi" w:cstheme="minorHAnsi"/>
              </w:rPr>
              <w:t xml:space="preserve">patients arrived in theatre within 6 hours of arrival at hospital, and 75% of patients </w:t>
            </w:r>
            <w:r w:rsidRPr="008E7EE6">
              <w:rPr>
                <w:rFonts w:asciiTheme="minorHAnsi" w:hAnsiTheme="minorHAnsi" w:cstheme="minorHAnsi"/>
              </w:rPr>
              <w:lastRenderedPageBreak/>
              <w:t>spen</w:t>
            </w:r>
            <w:r>
              <w:rPr>
                <w:rFonts w:asciiTheme="minorHAnsi" w:hAnsiTheme="minorHAnsi" w:cstheme="minorHAnsi"/>
              </w:rPr>
              <w:t xml:space="preserve">t </w:t>
            </w:r>
            <w:r w:rsidRPr="008E7EE6">
              <w:rPr>
                <w:rFonts w:asciiTheme="minorHAnsi" w:hAnsiTheme="minorHAnsi" w:cstheme="minorHAnsi"/>
              </w:rPr>
              <w:t>more than 10.2 hours between arriving at hospital and arriving in theatre</w:t>
            </w:r>
          </w:p>
          <w:p w14:paraId="6FE64D35" w14:textId="422123AA" w:rsidR="008E7EE6" w:rsidRPr="008E7EE6" w:rsidRDefault="008E7EE6" w:rsidP="008E7EE6">
            <w:pPr>
              <w:pStyle w:val="ListParagraph"/>
              <w:numPr>
                <w:ilvl w:val="0"/>
                <w:numId w:val="5"/>
              </w:numPr>
              <w:ind w:left="387"/>
              <w:rPr>
                <w:rFonts w:asciiTheme="minorHAnsi" w:hAnsiTheme="minorHAnsi" w:cstheme="minorHAnsi"/>
              </w:rPr>
            </w:pPr>
            <w:r>
              <w:rPr>
                <w:rFonts w:asciiTheme="minorHAnsi" w:hAnsiTheme="minorHAnsi" w:cstheme="minorHAnsi"/>
              </w:rPr>
              <w:t xml:space="preserve">Page 7: </w:t>
            </w:r>
            <w:r w:rsidRPr="008E7EE6">
              <w:rPr>
                <w:rFonts w:asciiTheme="minorHAnsi" w:hAnsiTheme="minorHAnsi" w:cstheme="minorHAnsi"/>
              </w:rPr>
              <w:t>Only about a third of patients with suspected infection received antibiotics within 3 hours (25% waited at least</w:t>
            </w:r>
            <w:r>
              <w:rPr>
                <w:rFonts w:asciiTheme="minorHAnsi" w:hAnsiTheme="minorHAnsi" w:cstheme="minorHAnsi"/>
              </w:rPr>
              <w:t xml:space="preserve"> </w:t>
            </w:r>
            <w:r w:rsidR="00153E25">
              <w:rPr>
                <w:rFonts w:asciiTheme="minorHAnsi" w:hAnsiTheme="minorHAnsi" w:cstheme="minorHAnsi"/>
              </w:rPr>
              <w:t>5.8</w:t>
            </w:r>
            <w:r w:rsidRPr="008E7EE6">
              <w:rPr>
                <w:rFonts w:asciiTheme="minorHAnsi" w:hAnsiTheme="minorHAnsi" w:cstheme="minorHAnsi"/>
              </w:rPr>
              <w:t xml:space="preserve"> hours). For those with suspected sepsis or septic shock, only </w:t>
            </w:r>
            <w:r w:rsidR="00153E25">
              <w:rPr>
                <w:rFonts w:asciiTheme="minorHAnsi" w:hAnsiTheme="minorHAnsi" w:cstheme="minorHAnsi"/>
              </w:rPr>
              <w:t>15</w:t>
            </w:r>
            <w:r w:rsidRPr="008E7EE6">
              <w:rPr>
                <w:rFonts w:asciiTheme="minorHAnsi" w:hAnsiTheme="minorHAnsi" w:cstheme="minorHAnsi"/>
              </w:rPr>
              <w:t xml:space="preserve">.3% met the target of 1 hour (25% waited more than </w:t>
            </w:r>
            <w:r w:rsidR="00153E25">
              <w:rPr>
                <w:rFonts w:asciiTheme="minorHAnsi" w:hAnsiTheme="minorHAnsi" w:cstheme="minorHAnsi"/>
              </w:rPr>
              <w:t>5.8</w:t>
            </w:r>
            <w:r>
              <w:rPr>
                <w:rFonts w:asciiTheme="minorHAnsi" w:hAnsiTheme="minorHAnsi" w:cstheme="minorHAnsi"/>
              </w:rPr>
              <w:t xml:space="preserve"> </w:t>
            </w:r>
            <w:r w:rsidRPr="008E7EE6">
              <w:rPr>
                <w:rFonts w:asciiTheme="minorHAnsi" w:hAnsiTheme="minorHAnsi" w:cstheme="minorHAnsi"/>
              </w:rPr>
              <w:t>hours)</w:t>
            </w:r>
          </w:p>
        </w:tc>
        <w:tc>
          <w:tcPr>
            <w:tcW w:w="1842" w:type="dxa"/>
          </w:tcPr>
          <w:p w14:paraId="78D780D9" w14:textId="70C48EC6" w:rsidR="008E7EE6" w:rsidRPr="008E7EE6" w:rsidRDefault="008E7EE6" w:rsidP="008E7EE6">
            <w:pPr>
              <w:pStyle w:val="ListParagraph"/>
              <w:numPr>
                <w:ilvl w:val="0"/>
                <w:numId w:val="5"/>
              </w:numPr>
              <w:spacing w:after="0" w:line="240" w:lineRule="auto"/>
              <w:ind w:left="358"/>
              <w:rPr>
                <w:rFonts w:asciiTheme="minorHAnsi" w:hAnsiTheme="minorHAnsi" w:cstheme="minorHAnsi"/>
              </w:rPr>
            </w:pPr>
            <w:r w:rsidRPr="008E7EE6">
              <w:rPr>
                <w:rFonts w:asciiTheme="minorHAnsi" w:hAnsiTheme="minorHAnsi" w:cstheme="minorHAnsi"/>
              </w:rPr>
              <w:lastRenderedPageBreak/>
              <w:t>The high-risk general surgical patient: raising the standard</w:t>
            </w:r>
            <w:r>
              <w:rPr>
                <w:rFonts w:asciiTheme="minorHAnsi" w:hAnsiTheme="minorHAnsi" w:cstheme="minorHAnsi"/>
              </w:rPr>
              <w:t>. RCS Eng 2018 notes c</w:t>
            </w:r>
            <w:r w:rsidRPr="008E7EE6">
              <w:rPr>
                <w:rFonts w:asciiTheme="minorHAnsi" w:hAnsiTheme="minorHAnsi" w:cstheme="minorHAnsi"/>
              </w:rPr>
              <w:t xml:space="preserve">ontrol of the source of sepsis by </w:t>
            </w:r>
            <w:r w:rsidRPr="008E7EE6">
              <w:rPr>
                <w:rFonts w:asciiTheme="minorHAnsi" w:hAnsiTheme="minorHAnsi" w:cstheme="minorHAnsi"/>
              </w:rPr>
              <w:lastRenderedPageBreak/>
              <w:t>surgery or other means should be urgent once diagnosed and underway within a maximum of six hours.</w:t>
            </w:r>
          </w:p>
          <w:p w14:paraId="712CE476" w14:textId="37489A0F" w:rsidR="004355A5" w:rsidRPr="008E7EE6" w:rsidRDefault="008E7EE6" w:rsidP="008E7EE6">
            <w:pPr>
              <w:pStyle w:val="ListParagraph"/>
              <w:numPr>
                <w:ilvl w:val="0"/>
                <w:numId w:val="5"/>
              </w:numPr>
              <w:spacing w:after="0" w:line="240" w:lineRule="auto"/>
              <w:ind w:left="360"/>
              <w:rPr>
                <w:rFonts w:asciiTheme="minorHAnsi" w:hAnsiTheme="minorHAnsi" w:cstheme="minorHAnsi"/>
              </w:rPr>
            </w:pPr>
            <w:r>
              <w:rPr>
                <w:rFonts w:asciiTheme="minorHAnsi" w:hAnsiTheme="minorHAnsi" w:cstheme="minorHAnsi"/>
              </w:rPr>
              <w:t xml:space="preserve">Statement on the initial antimicrobial management of sepsis. </w:t>
            </w:r>
            <w:proofErr w:type="spellStart"/>
            <w:r>
              <w:rPr>
                <w:rFonts w:asciiTheme="minorHAnsi" w:hAnsiTheme="minorHAnsi" w:cstheme="minorHAnsi"/>
              </w:rPr>
              <w:t>AoMRC</w:t>
            </w:r>
            <w:proofErr w:type="spellEnd"/>
            <w:r>
              <w:rPr>
                <w:rFonts w:asciiTheme="minorHAnsi" w:hAnsiTheme="minorHAnsi" w:cstheme="minorHAnsi"/>
              </w:rPr>
              <w:t xml:space="preserve"> 2022 v2 notes p</w:t>
            </w:r>
            <w:r w:rsidRPr="008E7EE6">
              <w:rPr>
                <w:rFonts w:asciiTheme="minorHAnsi" w:hAnsiTheme="minorHAnsi" w:cstheme="minorHAnsi"/>
                <w:bCs/>
              </w:rPr>
              <w:t>atients with a suspected “surgical” source of infection and NEWS2 of 1-4 should receive antimicrobials within 3 hours of recorded NEWS2 abnormality</w:t>
            </w:r>
            <w:r>
              <w:rPr>
                <w:rFonts w:asciiTheme="minorHAnsi" w:hAnsiTheme="minorHAnsi" w:cstheme="minorHAnsi"/>
                <w:bCs/>
              </w:rPr>
              <w:t xml:space="preserve"> and p</w:t>
            </w:r>
            <w:r w:rsidRPr="008E7EE6">
              <w:rPr>
                <w:rFonts w:asciiTheme="minorHAnsi" w:hAnsiTheme="minorHAnsi" w:cstheme="minorHAnsi"/>
                <w:bCs/>
              </w:rPr>
              <w:t xml:space="preserve">atients with a suspected “surgical” source of infection and NEWS2 of 5+, </w:t>
            </w:r>
            <w:r w:rsidRPr="008E7EE6">
              <w:rPr>
                <w:rFonts w:asciiTheme="minorHAnsi" w:hAnsiTheme="minorHAnsi" w:cstheme="minorHAnsi"/>
                <w:bCs/>
              </w:rPr>
              <w:lastRenderedPageBreak/>
              <w:t>or &gt;=3 in any one variable, should receive antimicrobials within 1 hour of recorded NEWS2 abnormality.</w:t>
            </w:r>
          </w:p>
        </w:tc>
        <w:tc>
          <w:tcPr>
            <w:tcW w:w="1677" w:type="dxa"/>
          </w:tcPr>
          <w:p w14:paraId="62456698" w14:textId="73F38AC0" w:rsidR="004355A5" w:rsidRPr="004355A5" w:rsidRDefault="008E7EE6" w:rsidP="00900DC1">
            <w:pPr>
              <w:spacing w:after="0" w:line="240" w:lineRule="auto"/>
              <w:rPr>
                <w:rFonts w:asciiTheme="minorHAnsi" w:hAnsiTheme="minorHAnsi" w:cstheme="minorHAnsi"/>
              </w:rPr>
            </w:pPr>
            <w:r>
              <w:rPr>
                <w:rFonts w:asciiTheme="minorHAnsi" w:hAnsiTheme="minorHAnsi" w:cstheme="minorHAnsi"/>
              </w:rPr>
              <w:lastRenderedPageBreak/>
              <w:t>None</w:t>
            </w:r>
          </w:p>
        </w:tc>
        <w:tc>
          <w:tcPr>
            <w:tcW w:w="1815" w:type="dxa"/>
          </w:tcPr>
          <w:p w14:paraId="0EC61C4E" w14:textId="37C8D05C" w:rsidR="004355A5" w:rsidRDefault="008E7EE6" w:rsidP="008E7EE6">
            <w:pPr>
              <w:pStyle w:val="ListParagraph"/>
              <w:numPr>
                <w:ilvl w:val="0"/>
                <w:numId w:val="6"/>
              </w:numPr>
              <w:spacing w:after="0" w:line="240" w:lineRule="auto"/>
              <w:ind w:left="270"/>
              <w:rPr>
                <w:rFonts w:asciiTheme="minorHAnsi" w:hAnsiTheme="minorHAnsi" w:cstheme="minorHAnsi"/>
              </w:rPr>
            </w:pPr>
            <w:hyperlink r:id="rId7" w:history="1">
              <w:r w:rsidRPr="0003226C">
                <w:rPr>
                  <w:rStyle w:val="Hyperlink"/>
                  <w:rFonts w:asciiTheme="minorHAnsi" w:hAnsiTheme="minorHAnsi" w:cstheme="minorHAnsi"/>
                </w:rPr>
                <w:t>The high-risk general surgical patient: raising the standard</w:t>
              </w:r>
            </w:hyperlink>
            <w:r>
              <w:rPr>
                <w:rFonts w:asciiTheme="minorHAnsi" w:hAnsiTheme="minorHAnsi" w:cstheme="minorHAnsi"/>
              </w:rPr>
              <w:t>. RCS Eng 2018</w:t>
            </w:r>
          </w:p>
          <w:p w14:paraId="1B7DCC6F" w14:textId="494D704E" w:rsidR="008E7EE6" w:rsidRPr="008E7EE6" w:rsidRDefault="008E7EE6" w:rsidP="008E7EE6">
            <w:pPr>
              <w:pStyle w:val="ListParagraph"/>
              <w:numPr>
                <w:ilvl w:val="0"/>
                <w:numId w:val="6"/>
              </w:numPr>
              <w:spacing w:after="0" w:line="240" w:lineRule="auto"/>
              <w:ind w:left="270"/>
              <w:rPr>
                <w:rFonts w:asciiTheme="minorHAnsi" w:hAnsiTheme="minorHAnsi" w:cstheme="minorHAnsi"/>
              </w:rPr>
            </w:pPr>
            <w:hyperlink r:id="rId8" w:history="1">
              <w:r w:rsidRPr="0003226C">
                <w:rPr>
                  <w:rStyle w:val="Hyperlink"/>
                  <w:rFonts w:asciiTheme="minorHAnsi" w:hAnsiTheme="minorHAnsi" w:cstheme="minorHAnsi"/>
                </w:rPr>
                <w:t xml:space="preserve">Statement on the initial antimicrobial </w:t>
              </w:r>
              <w:r w:rsidRPr="0003226C">
                <w:rPr>
                  <w:rStyle w:val="Hyperlink"/>
                  <w:rFonts w:asciiTheme="minorHAnsi" w:hAnsiTheme="minorHAnsi" w:cstheme="minorHAnsi"/>
                </w:rPr>
                <w:lastRenderedPageBreak/>
                <w:t>management of sepsis</w:t>
              </w:r>
            </w:hyperlink>
            <w:r>
              <w:rPr>
                <w:rFonts w:asciiTheme="minorHAnsi" w:hAnsiTheme="minorHAnsi" w:cstheme="minorHAnsi"/>
              </w:rPr>
              <w:t xml:space="preserve">. </w:t>
            </w:r>
            <w:proofErr w:type="spellStart"/>
            <w:r>
              <w:rPr>
                <w:rFonts w:asciiTheme="minorHAnsi" w:hAnsiTheme="minorHAnsi" w:cstheme="minorHAnsi"/>
              </w:rPr>
              <w:t>AoMRC</w:t>
            </w:r>
            <w:proofErr w:type="spellEnd"/>
            <w:r>
              <w:rPr>
                <w:rFonts w:asciiTheme="minorHAnsi" w:hAnsiTheme="minorHAnsi" w:cstheme="minorHAnsi"/>
              </w:rPr>
              <w:t xml:space="preserve"> 2022 v2</w:t>
            </w:r>
          </w:p>
        </w:tc>
        <w:tc>
          <w:tcPr>
            <w:tcW w:w="2590" w:type="dxa"/>
          </w:tcPr>
          <w:p w14:paraId="4418716D" w14:textId="27126F00" w:rsidR="004355A5" w:rsidRPr="004355A5" w:rsidRDefault="008E7EE6" w:rsidP="00900DC1">
            <w:pPr>
              <w:spacing w:after="0" w:line="240" w:lineRule="auto"/>
              <w:rPr>
                <w:rFonts w:asciiTheme="minorHAnsi" w:hAnsiTheme="minorHAnsi" w:cstheme="minorHAnsi"/>
              </w:rPr>
            </w:pPr>
            <w:r>
              <w:rPr>
                <w:rFonts w:asciiTheme="minorHAnsi" w:hAnsiTheme="minorHAnsi" w:cstheme="minorHAnsi"/>
              </w:rPr>
              <w:lastRenderedPageBreak/>
              <w:t>N/A. NELA has previously evaluated timeliness to theatre and timeliness to antibiotics, but calculations to compute compliance changed in year 10, make comparison with previous years difficult.</w:t>
            </w:r>
          </w:p>
        </w:tc>
      </w:tr>
      <w:tr w:rsidR="00C767AF" w:rsidRPr="00C7466A" w14:paraId="1AC55EB5" w14:textId="77777777" w:rsidTr="002F0D92">
        <w:tc>
          <w:tcPr>
            <w:tcW w:w="716" w:type="dxa"/>
          </w:tcPr>
          <w:p w14:paraId="595A0D82" w14:textId="4811E2DE" w:rsidR="004355A5" w:rsidRPr="004355A5" w:rsidRDefault="00DF4E55" w:rsidP="00900DC1">
            <w:pPr>
              <w:spacing w:after="0" w:line="240" w:lineRule="auto"/>
              <w:rPr>
                <w:rFonts w:asciiTheme="minorHAnsi" w:hAnsiTheme="minorHAnsi" w:cstheme="minorHAnsi"/>
              </w:rPr>
            </w:pPr>
            <w:r>
              <w:rPr>
                <w:rFonts w:asciiTheme="minorHAnsi" w:hAnsiTheme="minorHAnsi" w:cstheme="minorHAnsi"/>
              </w:rPr>
              <w:lastRenderedPageBreak/>
              <w:t>2</w:t>
            </w:r>
          </w:p>
        </w:tc>
        <w:tc>
          <w:tcPr>
            <w:tcW w:w="2673" w:type="dxa"/>
          </w:tcPr>
          <w:p w14:paraId="6EC5073F" w14:textId="16B87116" w:rsidR="004355A5" w:rsidRPr="004355A5" w:rsidRDefault="00DF4E55" w:rsidP="00900DC1">
            <w:pPr>
              <w:spacing w:after="0" w:line="240" w:lineRule="auto"/>
              <w:rPr>
                <w:rFonts w:asciiTheme="minorHAnsi" w:hAnsiTheme="minorHAnsi" w:cstheme="minorHAnsi"/>
              </w:rPr>
            </w:pPr>
            <w:r>
              <w:rPr>
                <w:sz w:val="20"/>
                <w:szCs w:val="20"/>
              </w:rPr>
              <w:t>S</w:t>
            </w:r>
            <w:r w:rsidRPr="00922F24">
              <w:rPr>
                <w:sz w:val="20"/>
                <w:szCs w:val="20"/>
              </w:rPr>
              <w:t xml:space="preserve">hould </w:t>
            </w:r>
            <w:r>
              <w:rPr>
                <w:sz w:val="20"/>
                <w:szCs w:val="20"/>
              </w:rPr>
              <w:t>highlight current guidelines around</w:t>
            </w:r>
            <w:r w:rsidRPr="00922F24">
              <w:rPr>
                <w:sz w:val="20"/>
                <w:szCs w:val="20"/>
              </w:rPr>
              <w:t xml:space="preserve"> the need for effective two-way direct communication between referrer and reporter whenever the patient’s condition or CT predicted findings suggest the patient has developed time-critical pathology</w:t>
            </w:r>
            <w:r w:rsidRPr="00B64C76">
              <w:rPr>
                <w:sz w:val="20"/>
                <w:szCs w:val="20"/>
              </w:rPr>
              <w:t>.</w:t>
            </w:r>
          </w:p>
        </w:tc>
        <w:tc>
          <w:tcPr>
            <w:tcW w:w="2057" w:type="dxa"/>
          </w:tcPr>
          <w:p w14:paraId="17B3DF9E" w14:textId="271C058A" w:rsidR="004355A5" w:rsidRPr="004355A5" w:rsidRDefault="00DF4E55" w:rsidP="00900DC1">
            <w:pPr>
              <w:spacing w:after="0" w:line="240" w:lineRule="auto"/>
              <w:rPr>
                <w:rFonts w:asciiTheme="minorHAnsi" w:hAnsiTheme="minorHAnsi" w:cstheme="minorHAnsi"/>
              </w:rPr>
            </w:pPr>
            <w:r>
              <w:rPr>
                <w:b/>
                <w:bCs/>
                <w:sz w:val="20"/>
                <w:szCs w:val="20"/>
              </w:rPr>
              <w:t>Royal College of Anaesthetists, Royal College of Emergency Medicine, Royal College of Radiologists, Royal College of Surgeons</w:t>
            </w:r>
          </w:p>
        </w:tc>
        <w:tc>
          <w:tcPr>
            <w:tcW w:w="2018" w:type="dxa"/>
            <w:gridSpan w:val="2"/>
          </w:tcPr>
          <w:p w14:paraId="6A96813E" w14:textId="54B94917" w:rsidR="004355A5" w:rsidRPr="00DF4E55" w:rsidRDefault="00DF4E55" w:rsidP="00DF4E55">
            <w:pPr>
              <w:pStyle w:val="ListParagraph"/>
              <w:numPr>
                <w:ilvl w:val="0"/>
                <w:numId w:val="7"/>
              </w:numPr>
              <w:spacing w:after="0" w:line="240" w:lineRule="auto"/>
              <w:ind w:left="346"/>
              <w:rPr>
                <w:rFonts w:asciiTheme="minorHAnsi" w:hAnsiTheme="minorHAnsi" w:cstheme="minorHAnsi"/>
              </w:rPr>
            </w:pPr>
            <w:r w:rsidRPr="00DF4E55">
              <w:rPr>
                <w:rFonts w:asciiTheme="minorHAnsi" w:hAnsiTheme="minorHAnsi" w:cstheme="minorHAnsi"/>
              </w:rPr>
              <w:t>Page 5: 12.4% of patients met this composite standard.</w:t>
            </w:r>
          </w:p>
        </w:tc>
        <w:tc>
          <w:tcPr>
            <w:tcW w:w="1842" w:type="dxa"/>
          </w:tcPr>
          <w:p w14:paraId="37B106AE" w14:textId="0D5FB53A" w:rsidR="00DF4E55" w:rsidRPr="00DF4E55" w:rsidRDefault="00DF4E55" w:rsidP="00DF4E55">
            <w:pPr>
              <w:pStyle w:val="ListParagraph"/>
              <w:numPr>
                <w:ilvl w:val="0"/>
                <w:numId w:val="7"/>
              </w:numPr>
              <w:spacing w:after="0" w:line="240" w:lineRule="auto"/>
              <w:ind w:left="337"/>
              <w:rPr>
                <w:rFonts w:asciiTheme="minorHAnsi" w:hAnsiTheme="minorHAnsi" w:cstheme="minorHAnsi"/>
                <w:bCs/>
              </w:rPr>
            </w:pPr>
            <w:r w:rsidRPr="00DF4E55">
              <w:rPr>
                <w:rFonts w:asciiTheme="minorHAnsi" w:hAnsiTheme="minorHAnsi" w:cstheme="minorHAnsi"/>
              </w:rPr>
              <w:t>The high-risk general surgical patient: raising the standard. RCS Eng 2018 notes f</w:t>
            </w:r>
            <w:r w:rsidRPr="00DF4E55">
              <w:rPr>
                <w:rFonts w:asciiTheme="minorHAnsi" w:hAnsiTheme="minorHAnsi" w:cstheme="minorHAnsi"/>
                <w:bCs/>
              </w:rPr>
              <w:t xml:space="preserve">or patients requiring immediate surgery CT scanning should be undertaken immediately. CT results should be reported by a senior radiologist (ST3 and above) within one hour of being undertaken, regardless of urgency of request. </w:t>
            </w:r>
            <w:r w:rsidRPr="00DF4E55">
              <w:rPr>
                <w:rFonts w:asciiTheme="minorHAnsi" w:hAnsiTheme="minorHAnsi" w:cstheme="minorHAnsi"/>
                <w:bCs/>
              </w:rPr>
              <w:lastRenderedPageBreak/>
              <w:t>Guidance also notes for high-risk general surgery patients being considered for major surgery, there should be joint preoperative discussion between senior surgeon (ST3 and above) and senior radiologist (ST3 and above), either in person or by telephone.</w:t>
            </w:r>
          </w:p>
          <w:p w14:paraId="2AE9275A" w14:textId="1D5A0553" w:rsidR="004355A5" w:rsidRPr="004355A5" w:rsidRDefault="004355A5" w:rsidP="00900DC1">
            <w:pPr>
              <w:spacing w:after="0" w:line="240" w:lineRule="auto"/>
              <w:rPr>
                <w:rFonts w:asciiTheme="minorHAnsi" w:hAnsiTheme="minorHAnsi" w:cstheme="minorHAnsi"/>
              </w:rPr>
            </w:pPr>
          </w:p>
        </w:tc>
        <w:tc>
          <w:tcPr>
            <w:tcW w:w="1677" w:type="dxa"/>
          </w:tcPr>
          <w:p w14:paraId="4D977CE3" w14:textId="48E2163E" w:rsidR="004355A5" w:rsidRPr="004355A5" w:rsidRDefault="00DF4E55" w:rsidP="00900DC1">
            <w:pPr>
              <w:spacing w:after="0" w:line="240" w:lineRule="auto"/>
              <w:rPr>
                <w:rFonts w:asciiTheme="minorHAnsi" w:hAnsiTheme="minorHAnsi" w:cstheme="minorHAnsi"/>
              </w:rPr>
            </w:pPr>
            <w:r>
              <w:rPr>
                <w:rFonts w:asciiTheme="minorHAnsi" w:hAnsiTheme="minorHAnsi" w:cstheme="minorHAnsi"/>
              </w:rPr>
              <w:lastRenderedPageBreak/>
              <w:t>None</w:t>
            </w:r>
          </w:p>
        </w:tc>
        <w:tc>
          <w:tcPr>
            <w:tcW w:w="1815" w:type="dxa"/>
          </w:tcPr>
          <w:p w14:paraId="7D419745" w14:textId="2FFD075D" w:rsidR="00DF4E55" w:rsidRDefault="00DF4E55" w:rsidP="00DF4E55">
            <w:pPr>
              <w:pStyle w:val="ListParagraph"/>
              <w:numPr>
                <w:ilvl w:val="0"/>
                <w:numId w:val="6"/>
              </w:numPr>
              <w:spacing w:after="0" w:line="240" w:lineRule="auto"/>
              <w:ind w:left="270"/>
              <w:rPr>
                <w:rFonts w:asciiTheme="minorHAnsi" w:hAnsiTheme="minorHAnsi" w:cstheme="minorHAnsi"/>
              </w:rPr>
            </w:pPr>
            <w:hyperlink r:id="rId9" w:history="1">
              <w:r w:rsidRPr="0003226C">
                <w:rPr>
                  <w:rStyle w:val="Hyperlink"/>
                  <w:rFonts w:asciiTheme="minorHAnsi" w:hAnsiTheme="minorHAnsi" w:cstheme="minorHAnsi"/>
                </w:rPr>
                <w:t>The high-risk general surgical patient: raising the standard</w:t>
              </w:r>
            </w:hyperlink>
            <w:r>
              <w:rPr>
                <w:rFonts w:asciiTheme="minorHAnsi" w:hAnsiTheme="minorHAnsi" w:cstheme="minorHAnsi"/>
              </w:rPr>
              <w:t>. RCS Eng 2018</w:t>
            </w:r>
          </w:p>
          <w:p w14:paraId="479EFE76" w14:textId="77777777" w:rsidR="004355A5" w:rsidRPr="004355A5" w:rsidRDefault="004355A5" w:rsidP="00900DC1">
            <w:pPr>
              <w:spacing w:after="0" w:line="240" w:lineRule="auto"/>
              <w:rPr>
                <w:rFonts w:asciiTheme="minorHAnsi" w:hAnsiTheme="minorHAnsi" w:cstheme="minorHAnsi"/>
              </w:rPr>
            </w:pPr>
          </w:p>
        </w:tc>
        <w:tc>
          <w:tcPr>
            <w:tcW w:w="2590" w:type="dxa"/>
          </w:tcPr>
          <w:p w14:paraId="3994C138" w14:textId="351B97FD" w:rsidR="004355A5" w:rsidRPr="004355A5" w:rsidRDefault="00DF4E55" w:rsidP="00900DC1">
            <w:pPr>
              <w:spacing w:after="0" w:line="240" w:lineRule="auto"/>
              <w:rPr>
                <w:rFonts w:asciiTheme="minorHAnsi" w:hAnsiTheme="minorHAnsi" w:cstheme="minorHAnsi"/>
              </w:rPr>
            </w:pPr>
            <w:r>
              <w:rPr>
                <w:rFonts w:asciiTheme="minorHAnsi" w:hAnsiTheme="minorHAnsi" w:cstheme="minorHAnsi"/>
              </w:rPr>
              <w:t xml:space="preserve">N/A. NELA changed the standard of care associated with CT scans in Year </w:t>
            </w:r>
            <w:proofErr w:type="gramStart"/>
            <w:r>
              <w:rPr>
                <w:rFonts w:asciiTheme="minorHAnsi" w:hAnsiTheme="minorHAnsi" w:cstheme="minorHAnsi"/>
              </w:rPr>
              <w:t>10,</w:t>
            </w:r>
            <w:proofErr w:type="gramEnd"/>
            <w:r>
              <w:rPr>
                <w:rFonts w:asciiTheme="minorHAnsi" w:hAnsiTheme="minorHAnsi" w:cstheme="minorHAnsi"/>
              </w:rPr>
              <w:t xml:space="preserve"> therefore we cannot compare results with previous years. </w:t>
            </w:r>
          </w:p>
        </w:tc>
      </w:tr>
      <w:tr w:rsidR="00C767AF" w:rsidRPr="00C7466A" w14:paraId="2AF06603" w14:textId="77777777" w:rsidTr="002F0D92">
        <w:tc>
          <w:tcPr>
            <w:tcW w:w="716" w:type="dxa"/>
          </w:tcPr>
          <w:p w14:paraId="782C36FD" w14:textId="40C203A1" w:rsidR="004355A5" w:rsidRPr="004355A5" w:rsidRDefault="00A94ECB" w:rsidP="00900DC1">
            <w:pPr>
              <w:spacing w:after="0" w:line="240" w:lineRule="auto"/>
              <w:rPr>
                <w:rFonts w:asciiTheme="minorHAnsi" w:hAnsiTheme="minorHAnsi" w:cstheme="minorHAnsi"/>
              </w:rPr>
            </w:pPr>
            <w:r>
              <w:rPr>
                <w:rFonts w:asciiTheme="minorHAnsi" w:hAnsiTheme="minorHAnsi" w:cstheme="minorHAnsi"/>
              </w:rPr>
              <w:t>3a</w:t>
            </w:r>
          </w:p>
        </w:tc>
        <w:tc>
          <w:tcPr>
            <w:tcW w:w="2673" w:type="dxa"/>
          </w:tcPr>
          <w:p w14:paraId="534671A2" w14:textId="31065EAA" w:rsidR="004355A5" w:rsidRPr="004355A5" w:rsidRDefault="00A94ECB" w:rsidP="00900DC1">
            <w:pPr>
              <w:spacing w:after="0" w:line="240" w:lineRule="auto"/>
              <w:rPr>
                <w:rFonts w:asciiTheme="minorHAnsi" w:hAnsiTheme="minorHAnsi" w:cstheme="minorHAnsi"/>
              </w:rPr>
            </w:pPr>
            <w:r>
              <w:rPr>
                <w:sz w:val="20"/>
                <w:szCs w:val="20"/>
              </w:rPr>
              <w:t>S</w:t>
            </w:r>
            <w:r w:rsidRPr="00B64C76">
              <w:rPr>
                <w:sz w:val="20"/>
                <w:szCs w:val="20"/>
              </w:rPr>
              <w:t xml:space="preserve">hould evaluate variations in critical care bed capacity for patients undergoing emergency laparotomy, factoring a predicted need of 30-40 </w:t>
            </w:r>
            <w:proofErr w:type="spellStart"/>
            <w:r w:rsidRPr="00B64C76">
              <w:rPr>
                <w:sz w:val="20"/>
                <w:szCs w:val="20"/>
              </w:rPr>
              <w:t>EmLap</w:t>
            </w:r>
            <w:proofErr w:type="spellEnd"/>
            <w:r w:rsidRPr="00B64C76">
              <w:rPr>
                <w:sz w:val="20"/>
                <w:szCs w:val="20"/>
              </w:rPr>
              <w:t>-related critical care admissions per year per 100,000 adult population served.</w:t>
            </w:r>
          </w:p>
        </w:tc>
        <w:tc>
          <w:tcPr>
            <w:tcW w:w="2057" w:type="dxa"/>
          </w:tcPr>
          <w:p w14:paraId="50823914" w14:textId="465AB33F" w:rsidR="004355A5" w:rsidRPr="004355A5" w:rsidRDefault="00A94ECB" w:rsidP="00900DC1">
            <w:pPr>
              <w:spacing w:after="0" w:line="240" w:lineRule="auto"/>
              <w:rPr>
                <w:rFonts w:asciiTheme="minorHAnsi" w:hAnsiTheme="minorHAnsi" w:cstheme="minorHAnsi"/>
              </w:rPr>
            </w:pPr>
            <w:r w:rsidRPr="00B64C76">
              <w:rPr>
                <w:b/>
                <w:bCs/>
                <w:sz w:val="20"/>
                <w:szCs w:val="20"/>
              </w:rPr>
              <w:t>NHS</w:t>
            </w:r>
            <w:r>
              <w:rPr>
                <w:b/>
                <w:bCs/>
                <w:sz w:val="20"/>
                <w:szCs w:val="20"/>
              </w:rPr>
              <w:t xml:space="preserve"> </w:t>
            </w:r>
            <w:r w:rsidRPr="00B64C76">
              <w:rPr>
                <w:b/>
                <w:bCs/>
                <w:sz w:val="20"/>
                <w:szCs w:val="20"/>
              </w:rPr>
              <w:t>E</w:t>
            </w:r>
            <w:r>
              <w:rPr>
                <w:b/>
                <w:bCs/>
                <w:sz w:val="20"/>
                <w:szCs w:val="20"/>
              </w:rPr>
              <w:t>ngland</w:t>
            </w:r>
            <w:r w:rsidRPr="00B64C76">
              <w:rPr>
                <w:b/>
                <w:bCs/>
                <w:sz w:val="20"/>
                <w:szCs w:val="20"/>
              </w:rPr>
              <w:t xml:space="preserve">, </w:t>
            </w:r>
            <w:r>
              <w:rPr>
                <w:b/>
                <w:bCs/>
                <w:sz w:val="20"/>
                <w:szCs w:val="20"/>
              </w:rPr>
              <w:t>Integrated Care Boards,</w:t>
            </w:r>
            <w:r w:rsidRPr="00B64C76">
              <w:rPr>
                <w:b/>
                <w:bCs/>
                <w:sz w:val="20"/>
                <w:szCs w:val="20"/>
              </w:rPr>
              <w:t xml:space="preserve"> and Welsh </w:t>
            </w:r>
            <w:r>
              <w:rPr>
                <w:b/>
                <w:bCs/>
                <w:sz w:val="20"/>
                <w:szCs w:val="20"/>
              </w:rPr>
              <w:t>Health Boards</w:t>
            </w:r>
          </w:p>
        </w:tc>
        <w:tc>
          <w:tcPr>
            <w:tcW w:w="2018" w:type="dxa"/>
            <w:gridSpan w:val="2"/>
          </w:tcPr>
          <w:p w14:paraId="7EA03708" w14:textId="2D5828D4" w:rsidR="004355A5" w:rsidRPr="00E84EEE" w:rsidRDefault="00E84EEE" w:rsidP="00E84EEE">
            <w:pPr>
              <w:pStyle w:val="ListParagraph"/>
              <w:numPr>
                <w:ilvl w:val="0"/>
                <w:numId w:val="6"/>
              </w:numPr>
              <w:spacing w:after="0" w:line="240" w:lineRule="auto"/>
              <w:ind w:left="404"/>
              <w:rPr>
                <w:rFonts w:asciiTheme="minorHAnsi" w:hAnsiTheme="minorHAnsi" w:cstheme="minorHAnsi"/>
              </w:rPr>
            </w:pPr>
            <w:r w:rsidRPr="00E84EEE">
              <w:rPr>
                <w:rFonts w:asciiTheme="minorHAnsi" w:hAnsiTheme="minorHAnsi" w:cstheme="minorHAnsi"/>
              </w:rPr>
              <w:t>Page 7: Overall, 77.</w:t>
            </w:r>
            <w:r w:rsidR="007F34BE">
              <w:rPr>
                <w:rFonts w:asciiTheme="minorHAnsi" w:hAnsiTheme="minorHAnsi" w:cstheme="minorHAnsi"/>
              </w:rPr>
              <w:t>6</w:t>
            </w:r>
            <w:r w:rsidRPr="00E84EEE">
              <w:rPr>
                <w:rFonts w:asciiTheme="minorHAnsi" w:hAnsiTheme="minorHAnsi" w:cstheme="minorHAnsi"/>
              </w:rPr>
              <w:t>% of high-risk patients were admitted directly to CC postoperatively</w:t>
            </w:r>
          </w:p>
          <w:p w14:paraId="45409BCD" w14:textId="77777777" w:rsidR="00E84EEE" w:rsidRDefault="00E84EEE" w:rsidP="00900DC1">
            <w:pPr>
              <w:spacing w:after="0" w:line="240" w:lineRule="auto"/>
              <w:ind w:left="404"/>
              <w:rPr>
                <w:rFonts w:asciiTheme="minorHAnsi" w:hAnsiTheme="minorHAnsi" w:cstheme="minorHAnsi"/>
              </w:rPr>
            </w:pPr>
          </w:p>
          <w:p w14:paraId="2ED49D51" w14:textId="201262B1" w:rsidR="00E84EEE" w:rsidRPr="00E84EEE" w:rsidRDefault="00E84EEE" w:rsidP="00E84EEE">
            <w:pPr>
              <w:pStyle w:val="ListParagraph"/>
              <w:numPr>
                <w:ilvl w:val="0"/>
                <w:numId w:val="6"/>
              </w:numPr>
              <w:spacing w:after="0" w:line="240" w:lineRule="auto"/>
              <w:ind w:left="404"/>
              <w:rPr>
                <w:rFonts w:asciiTheme="minorHAnsi" w:hAnsiTheme="minorHAnsi" w:cstheme="minorHAnsi"/>
              </w:rPr>
            </w:pPr>
            <w:r w:rsidRPr="00E84EEE">
              <w:rPr>
                <w:rFonts w:asciiTheme="minorHAnsi" w:hAnsiTheme="minorHAnsi" w:cstheme="minorHAnsi"/>
              </w:rPr>
              <w:t xml:space="preserve">Page </w:t>
            </w:r>
            <w:r w:rsidR="007F34BE">
              <w:rPr>
                <w:rFonts w:asciiTheme="minorHAnsi" w:hAnsiTheme="minorHAnsi" w:cstheme="minorHAnsi"/>
              </w:rPr>
              <w:t>8</w:t>
            </w:r>
            <w:r w:rsidRPr="00E84EEE">
              <w:rPr>
                <w:rFonts w:asciiTheme="minorHAnsi" w:hAnsiTheme="minorHAnsi" w:cstheme="minorHAnsi"/>
              </w:rPr>
              <w:t xml:space="preserve">: High-risk patients who were discharged to the ward had an observed </w:t>
            </w:r>
            <w:r w:rsidRPr="00E84EEE">
              <w:rPr>
                <w:rFonts w:asciiTheme="minorHAnsi" w:hAnsiTheme="minorHAnsi" w:cstheme="minorHAnsi"/>
              </w:rPr>
              <w:lastRenderedPageBreak/>
              <w:t>mortality rate of 4.</w:t>
            </w:r>
            <w:r w:rsidR="007F34BE">
              <w:rPr>
                <w:rFonts w:asciiTheme="minorHAnsi" w:hAnsiTheme="minorHAnsi" w:cstheme="minorHAnsi"/>
              </w:rPr>
              <w:t>6</w:t>
            </w:r>
            <w:r w:rsidRPr="00E84EEE">
              <w:rPr>
                <w:rFonts w:asciiTheme="minorHAnsi" w:hAnsiTheme="minorHAnsi" w:cstheme="minorHAnsi"/>
              </w:rPr>
              <w:t>%</w:t>
            </w:r>
          </w:p>
        </w:tc>
        <w:tc>
          <w:tcPr>
            <w:tcW w:w="1842" w:type="dxa"/>
          </w:tcPr>
          <w:p w14:paraId="2DA3F93B" w14:textId="225CC788" w:rsidR="004355A5" w:rsidRPr="00E84EEE" w:rsidRDefault="00E84EEE" w:rsidP="00E84EEE">
            <w:pPr>
              <w:pStyle w:val="ListParagraph"/>
              <w:numPr>
                <w:ilvl w:val="0"/>
                <w:numId w:val="6"/>
              </w:numPr>
              <w:spacing w:after="0" w:line="240" w:lineRule="auto"/>
              <w:ind w:left="380"/>
              <w:rPr>
                <w:rFonts w:asciiTheme="minorHAnsi" w:hAnsiTheme="minorHAnsi" w:cstheme="minorHAnsi"/>
              </w:rPr>
            </w:pPr>
            <w:r w:rsidRPr="00E84EEE">
              <w:rPr>
                <w:rFonts w:asciiTheme="minorHAnsi" w:hAnsiTheme="minorHAnsi" w:cstheme="minorHAnsi"/>
              </w:rPr>
              <w:lastRenderedPageBreak/>
              <w:t>The high-risk general surgical patient: raising the standard. RCS Eng 2018 notes p</w:t>
            </w:r>
            <w:r w:rsidRPr="00E84EEE">
              <w:rPr>
                <w:rFonts w:asciiTheme="minorHAnsi" w:hAnsiTheme="minorHAnsi" w:cstheme="minorHAnsi"/>
                <w:bCs/>
              </w:rPr>
              <w:t xml:space="preserve">atients with an end-of-operation risk of death of 5%+, by any measure, </w:t>
            </w:r>
            <w:r w:rsidRPr="00E84EEE">
              <w:rPr>
                <w:rFonts w:asciiTheme="minorHAnsi" w:hAnsiTheme="minorHAnsi" w:cstheme="minorHAnsi"/>
                <w:bCs/>
              </w:rPr>
              <w:lastRenderedPageBreak/>
              <w:t>should be admitted directly to critical care.</w:t>
            </w:r>
          </w:p>
        </w:tc>
        <w:tc>
          <w:tcPr>
            <w:tcW w:w="1677" w:type="dxa"/>
          </w:tcPr>
          <w:p w14:paraId="069D06E2" w14:textId="1938F3DF" w:rsidR="004355A5" w:rsidRPr="004355A5" w:rsidRDefault="00E84EEE" w:rsidP="00900DC1">
            <w:pPr>
              <w:spacing w:after="0" w:line="240" w:lineRule="auto"/>
              <w:rPr>
                <w:rFonts w:asciiTheme="minorHAnsi" w:hAnsiTheme="minorHAnsi" w:cstheme="minorHAnsi"/>
              </w:rPr>
            </w:pPr>
            <w:r>
              <w:rPr>
                <w:rFonts w:asciiTheme="minorHAnsi" w:hAnsiTheme="minorHAnsi" w:cstheme="minorHAnsi"/>
              </w:rPr>
              <w:lastRenderedPageBreak/>
              <w:t>None</w:t>
            </w:r>
          </w:p>
        </w:tc>
        <w:tc>
          <w:tcPr>
            <w:tcW w:w="1815" w:type="dxa"/>
          </w:tcPr>
          <w:p w14:paraId="19B3BBBE" w14:textId="0EC298B3" w:rsidR="00E84EEE" w:rsidRDefault="00E84EEE" w:rsidP="00E84EEE">
            <w:pPr>
              <w:pStyle w:val="ListParagraph"/>
              <w:numPr>
                <w:ilvl w:val="0"/>
                <w:numId w:val="6"/>
              </w:numPr>
              <w:spacing w:after="0" w:line="240" w:lineRule="auto"/>
              <w:ind w:left="270"/>
              <w:rPr>
                <w:rFonts w:asciiTheme="minorHAnsi" w:hAnsiTheme="minorHAnsi" w:cstheme="minorHAnsi"/>
              </w:rPr>
            </w:pPr>
            <w:hyperlink r:id="rId10" w:history="1">
              <w:r w:rsidRPr="0003226C">
                <w:rPr>
                  <w:rStyle w:val="Hyperlink"/>
                  <w:rFonts w:asciiTheme="minorHAnsi" w:hAnsiTheme="minorHAnsi" w:cstheme="minorHAnsi"/>
                </w:rPr>
                <w:t>The high-risk general surgical patient: raising the standard</w:t>
              </w:r>
            </w:hyperlink>
            <w:r>
              <w:rPr>
                <w:rFonts w:asciiTheme="minorHAnsi" w:hAnsiTheme="minorHAnsi" w:cstheme="minorHAnsi"/>
              </w:rPr>
              <w:t>. RCS Eng 2018</w:t>
            </w:r>
          </w:p>
          <w:p w14:paraId="511DB34A" w14:textId="77777777" w:rsidR="004355A5" w:rsidRPr="004355A5" w:rsidRDefault="004355A5" w:rsidP="00900DC1">
            <w:pPr>
              <w:spacing w:after="0" w:line="240" w:lineRule="auto"/>
              <w:rPr>
                <w:rFonts w:asciiTheme="minorHAnsi" w:hAnsiTheme="minorHAnsi" w:cstheme="minorHAnsi"/>
              </w:rPr>
            </w:pPr>
          </w:p>
        </w:tc>
        <w:tc>
          <w:tcPr>
            <w:tcW w:w="2590" w:type="dxa"/>
          </w:tcPr>
          <w:p w14:paraId="7B73F7A5" w14:textId="5D20A8BF" w:rsidR="004355A5" w:rsidRPr="00E84EEE" w:rsidRDefault="00E84EEE" w:rsidP="00E84EEE">
            <w:pPr>
              <w:pStyle w:val="ListParagraph"/>
              <w:numPr>
                <w:ilvl w:val="0"/>
                <w:numId w:val="6"/>
              </w:numPr>
              <w:spacing w:after="0" w:line="240" w:lineRule="auto"/>
              <w:ind w:left="355"/>
              <w:rPr>
                <w:rFonts w:asciiTheme="minorHAnsi" w:hAnsiTheme="minorHAnsi" w:cstheme="minorHAnsi"/>
              </w:rPr>
            </w:pPr>
            <w:r>
              <w:rPr>
                <w:rFonts w:asciiTheme="minorHAnsi" w:hAnsiTheme="minorHAnsi" w:cstheme="minorHAnsi"/>
              </w:rPr>
              <w:t xml:space="preserve">In the year 9 report, NELA noted that 80.3% of high-risk patients were admitted to critical care. </w:t>
            </w:r>
            <w:r w:rsidR="00C769DB">
              <w:rPr>
                <w:rFonts w:asciiTheme="minorHAnsi" w:hAnsiTheme="minorHAnsi" w:cstheme="minorHAnsi"/>
              </w:rPr>
              <w:t xml:space="preserve">13.9% of high-risk patients were discharged to a normal ward, with a 7% mortality rate. </w:t>
            </w:r>
          </w:p>
        </w:tc>
      </w:tr>
      <w:tr w:rsidR="00C767AF" w:rsidRPr="00C7466A" w14:paraId="43E78943" w14:textId="77777777" w:rsidTr="002F0D92">
        <w:tc>
          <w:tcPr>
            <w:tcW w:w="716" w:type="dxa"/>
          </w:tcPr>
          <w:p w14:paraId="68047AD1" w14:textId="4C5D0E30" w:rsidR="004355A5" w:rsidRPr="004355A5" w:rsidRDefault="00A94ECB" w:rsidP="00900DC1">
            <w:pPr>
              <w:spacing w:after="0" w:line="240" w:lineRule="auto"/>
              <w:rPr>
                <w:rFonts w:asciiTheme="minorHAnsi" w:hAnsiTheme="minorHAnsi" w:cstheme="minorHAnsi"/>
              </w:rPr>
            </w:pPr>
            <w:r>
              <w:rPr>
                <w:rFonts w:asciiTheme="minorHAnsi" w:hAnsiTheme="minorHAnsi" w:cstheme="minorHAnsi"/>
              </w:rPr>
              <w:t>3b</w:t>
            </w:r>
          </w:p>
        </w:tc>
        <w:tc>
          <w:tcPr>
            <w:tcW w:w="2673" w:type="dxa"/>
          </w:tcPr>
          <w:p w14:paraId="0EE89658" w14:textId="3E6332C3" w:rsidR="004355A5" w:rsidRPr="004355A5" w:rsidRDefault="00A94ECB" w:rsidP="00900DC1">
            <w:pPr>
              <w:spacing w:after="0" w:line="240" w:lineRule="auto"/>
              <w:rPr>
                <w:rFonts w:asciiTheme="minorHAnsi" w:hAnsiTheme="minorHAnsi" w:cstheme="minorHAnsi"/>
              </w:rPr>
            </w:pPr>
            <w:r>
              <w:rPr>
                <w:sz w:val="20"/>
                <w:szCs w:val="20"/>
              </w:rPr>
              <w:t>S</w:t>
            </w:r>
            <w:r w:rsidRPr="00B64C76">
              <w:rPr>
                <w:sz w:val="20"/>
                <w:szCs w:val="20"/>
              </w:rPr>
              <w:t>hould consider commissioning research into optimum placement and management of patients at the margins of risk categories to better understand potential early interventions that could mitigate the risk of dying after surgery.</w:t>
            </w:r>
          </w:p>
        </w:tc>
        <w:tc>
          <w:tcPr>
            <w:tcW w:w="2057" w:type="dxa"/>
          </w:tcPr>
          <w:p w14:paraId="0BDC6F76" w14:textId="7FC31E5D" w:rsidR="004355A5" w:rsidRPr="004355A5" w:rsidRDefault="00A94ECB" w:rsidP="00900DC1">
            <w:pPr>
              <w:spacing w:after="0" w:line="240" w:lineRule="auto"/>
              <w:rPr>
                <w:rFonts w:asciiTheme="minorHAnsi" w:hAnsiTheme="minorHAnsi" w:cstheme="minorHAnsi"/>
              </w:rPr>
            </w:pPr>
            <w:r>
              <w:rPr>
                <w:b/>
                <w:bCs/>
                <w:sz w:val="20"/>
                <w:szCs w:val="20"/>
              </w:rPr>
              <w:t>National Institute for Health and Care Research</w:t>
            </w:r>
          </w:p>
        </w:tc>
        <w:tc>
          <w:tcPr>
            <w:tcW w:w="2018" w:type="dxa"/>
            <w:gridSpan w:val="2"/>
          </w:tcPr>
          <w:p w14:paraId="05C4F886" w14:textId="7C60E695" w:rsidR="00E84EEE" w:rsidRPr="00E84EEE" w:rsidRDefault="00E84EEE" w:rsidP="00E84EEE">
            <w:pPr>
              <w:pStyle w:val="ListParagraph"/>
              <w:numPr>
                <w:ilvl w:val="0"/>
                <w:numId w:val="6"/>
              </w:numPr>
              <w:spacing w:after="0" w:line="240" w:lineRule="auto"/>
              <w:ind w:left="404"/>
              <w:rPr>
                <w:rFonts w:asciiTheme="minorHAnsi" w:hAnsiTheme="minorHAnsi" w:cstheme="minorHAnsi"/>
              </w:rPr>
            </w:pPr>
            <w:r w:rsidRPr="00E84EEE">
              <w:rPr>
                <w:rFonts w:asciiTheme="minorHAnsi" w:hAnsiTheme="minorHAnsi" w:cstheme="minorHAnsi"/>
              </w:rPr>
              <w:t>Page 7: Overall, 77.</w:t>
            </w:r>
            <w:r w:rsidR="007F34BE">
              <w:rPr>
                <w:rFonts w:asciiTheme="minorHAnsi" w:hAnsiTheme="minorHAnsi" w:cstheme="minorHAnsi"/>
              </w:rPr>
              <w:t>6</w:t>
            </w:r>
            <w:r w:rsidRPr="00E84EEE">
              <w:rPr>
                <w:rFonts w:asciiTheme="minorHAnsi" w:hAnsiTheme="minorHAnsi" w:cstheme="minorHAnsi"/>
              </w:rPr>
              <w:t>% of high-risk patients were admitted directly to CC postoperatively</w:t>
            </w:r>
          </w:p>
          <w:p w14:paraId="707ECEEB" w14:textId="77777777" w:rsidR="00E84EEE" w:rsidRDefault="00E84EEE" w:rsidP="00E84EEE">
            <w:pPr>
              <w:spacing w:after="0" w:line="240" w:lineRule="auto"/>
              <w:ind w:left="404"/>
              <w:rPr>
                <w:rFonts w:asciiTheme="minorHAnsi" w:hAnsiTheme="minorHAnsi" w:cstheme="minorHAnsi"/>
              </w:rPr>
            </w:pPr>
          </w:p>
          <w:p w14:paraId="1D896681" w14:textId="7DB791BF" w:rsidR="004355A5" w:rsidRDefault="00E84EEE" w:rsidP="00E84EEE">
            <w:pPr>
              <w:pStyle w:val="ListParagraph"/>
              <w:numPr>
                <w:ilvl w:val="0"/>
                <w:numId w:val="6"/>
              </w:numPr>
              <w:spacing w:after="0" w:line="240" w:lineRule="auto"/>
              <w:ind w:left="406"/>
              <w:rPr>
                <w:rFonts w:asciiTheme="minorHAnsi" w:hAnsiTheme="minorHAnsi" w:cstheme="minorHAnsi"/>
              </w:rPr>
            </w:pPr>
            <w:r w:rsidRPr="00E84EEE">
              <w:rPr>
                <w:rFonts w:asciiTheme="minorHAnsi" w:hAnsiTheme="minorHAnsi" w:cstheme="minorHAnsi"/>
              </w:rPr>
              <w:t xml:space="preserve">Page </w:t>
            </w:r>
            <w:r w:rsidR="007F34BE">
              <w:rPr>
                <w:rFonts w:asciiTheme="minorHAnsi" w:hAnsiTheme="minorHAnsi" w:cstheme="minorHAnsi"/>
              </w:rPr>
              <w:t>8</w:t>
            </w:r>
            <w:r w:rsidRPr="00E84EEE">
              <w:rPr>
                <w:rFonts w:asciiTheme="minorHAnsi" w:hAnsiTheme="minorHAnsi" w:cstheme="minorHAnsi"/>
              </w:rPr>
              <w:t>: High-risk patients who were discharged to the ward had an observed mortality rate of 4.</w:t>
            </w:r>
            <w:r w:rsidR="007F34BE">
              <w:rPr>
                <w:rFonts w:asciiTheme="minorHAnsi" w:hAnsiTheme="minorHAnsi" w:cstheme="minorHAnsi"/>
              </w:rPr>
              <w:t>6</w:t>
            </w:r>
            <w:r w:rsidRPr="00E84EEE">
              <w:rPr>
                <w:rFonts w:asciiTheme="minorHAnsi" w:hAnsiTheme="minorHAnsi" w:cstheme="minorHAnsi"/>
              </w:rPr>
              <w:t>%</w:t>
            </w:r>
          </w:p>
          <w:p w14:paraId="3B2E36C9" w14:textId="77777777" w:rsidR="003860A6" w:rsidRPr="003860A6" w:rsidRDefault="003860A6" w:rsidP="003860A6">
            <w:pPr>
              <w:pStyle w:val="ListParagraph"/>
              <w:rPr>
                <w:rFonts w:asciiTheme="minorHAnsi" w:hAnsiTheme="minorHAnsi" w:cstheme="minorHAnsi"/>
              </w:rPr>
            </w:pPr>
          </w:p>
          <w:p w14:paraId="22ACABE7" w14:textId="065F5941" w:rsidR="003860A6" w:rsidRPr="00E84EEE" w:rsidRDefault="003860A6" w:rsidP="00E84EEE">
            <w:pPr>
              <w:pStyle w:val="ListParagraph"/>
              <w:numPr>
                <w:ilvl w:val="0"/>
                <w:numId w:val="6"/>
              </w:numPr>
              <w:spacing w:after="0" w:line="240" w:lineRule="auto"/>
              <w:ind w:left="406"/>
              <w:rPr>
                <w:rFonts w:asciiTheme="minorHAnsi" w:hAnsiTheme="minorHAnsi" w:cstheme="minorHAnsi"/>
              </w:rPr>
            </w:pPr>
            <w:r>
              <w:rPr>
                <w:rFonts w:asciiTheme="minorHAnsi" w:hAnsiTheme="minorHAnsi" w:cstheme="minorHAnsi"/>
              </w:rPr>
              <w:t>Table 11.2: 16.</w:t>
            </w:r>
            <w:r w:rsidR="007F34BE">
              <w:rPr>
                <w:rFonts w:asciiTheme="minorHAnsi" w:hAnsiTheme="minorHAnsi" w:cstheme="minorHAnsi"/>
              </w:rPr>
              <w:t>9</w:t>
            </w:r>
            <w:r>
              <w:rPr>
                <w:rFonts w:asciiTheme="minorHAnsi" w:hAnsiTheme="minorHAnsi" w:cstheme="minorHAnsi"/>
              </w:rPr>
              <w:t>% of high-risk patients were discharged to a normal ward</w:t>
            </w:r>
          </w:p>
        </w:tc>
        <w:tc>
          <w:tcPr>
            <w:tcW w:w="1842" w:type="dxa"/>
          </w:tcPr>
          <w:p w14:paraId="554B92EF" w14:textId="35E1AA51" w:rsidR="004355A5" w:rsidRPr="00E84EEE" w:rsidRDefault="00E84EEE" w:rsidP="00E84EEE">
            <w:pPr>
              <w:pStyle w:val="ListParagraph"/>
              <w:numPr>
                <w:ilvl w:val="0"/>
                <w:numId w:val="6"/>
              </w:numPr>
              <w:spacing w:after="0" w:line="240" w:lineRule="auto"/>
              <w:ind w:left="380"/>
              <w:rPr>
                <w:rFonts w:asciiTheme="minorHAnsi" w:hAnsiTheme="minorHAnsi" w:cstheme="minorHAnsi"/>
              </w:rPr>
            </w:pPr>
            <w:r w:rsidRPr="00E84EEE">
              <w:rPr>
                <w:rFonts w:asciiTheme="minorHAnsi" w:hAnsiTheme="minorHAnsi" w:cstheme="minorHAnsi"/>
              </w:rPr>
              <w:t>The high-risk general surgical patient: raising the standard. RCS Eng 2018 notes p</w:t>
            </w:r>
            <w:r w:rsidRPr="00E84EEE">
              <w:rPr>
                <w:rFonts w:asciiTheme="minorHAnsi" w:hAnsiTheme="minorHAnsi" w:cstheme="minorHAnsi"/>
                <w:bCs/>
              </w:rPr>
              <w:t>atients with an end-of-operation risk of death of 5%+, by any measure, should be admitted directly to critical care.</w:t>
            </w:r>
          </w:p>
        </w:tc>
        <w:tc>
          <w:tcPr>
            <w:tcW w:w="1677" w:type="dxa"/>
          </w:tcPr>
          <w:p w14:paraId="4F50C8BE" w14:textId="4A28478A" w:rsidR="004355A5" w:rsidRPr="004355A5" w:rsidRDefault="00E84EEE" w:rsidP="00900DC1">
            <w:pPr>
              <w:spacing w:after="0" w:line="240" w:lineRule="auto"/>
              <w:rPr>
                <w:rFonts w:asciiTheme="minorHAnsi" w:hAnsiTheme="minorHAnsi" w:cstheme="minorHAnsi"/>
              </w:rPr>
            </w:pPr>
            <w:r>
              <w:rPr>
                <w:rFonts w:asciiTheme="minorHAnsi" w:hAnsiTheme="minorHAnsi" w:cstheme="minorHAnsi"/>
              </w:rPr>
              <w:t>None</w:t>
            </w:r>
          </w:p>
        </w:tc>
        <w:tc>
          <w:tcPr>
            <w:tcW w:w="1815" w:type="dxa"/>
          </w:tcPr>
          <w:p w14:paraId="1F361582" w14:textId="5908292C" w:rsidR="00E84EEE" w:rsidRDefault="00E84EEE" w:rsidP="00E84EEE">
            <w:pPr>
              <w:pStyle w:val="ListParagraph"/>
              <w:numPr>
                <w:ilvl w:val="0"/>
                <w:numId w:val="6"/>
              </w:numPr>
              <w:spacing w:after="0" w:line="240" w:lineRule="auto"/>
              <w:ind w:left="270"/>
              <w:rPr>
                <w:rFonts w:asciiTheme="minorHAnsi" w:hAnsiTheme="minorHAnsi" w:cstheme="minorHAnsi"/>
              </w:rPr>
            </w:pPr>
            <w:hyperlink r:id="rId11" w:history="1">
              <w:r w:rsidRPr="0003226C">
                <w:rPr>
                  <w:rStyle w:val="Hyperlink"/>
                  <w:rFonts w:asciiTheme="minorHAnsi" w:hAnsiTheme="minorHAnsi" w:cstheme="minorHAnsi"/>
                </w:rPr>
                <w:t>The high-risk general surgical patient: raising the standard</w:t>
              </w:r>
            </w:hyperlink>
            <w:r>
              <w:rPr>
                <w:rFonts w:asciiTheme="minorHAnsi" w:hAnsiTheme="minorHAnsi" w:cstheme="minorHAnsi"/>
              </w:rPr>
              <w:t>. RCS Eng 2018</w:t>
            </w:r>
          </w:p>
          <w:p w14:paraId="69320CC5" w14:textId="77777777" w:rsidR="004355A5" w:rsidRPr="004355A5" w:rsidRDefault="004355A5" w:rsidP="00900DC1">
            <w:pPr>
              <w:spacing w:after="0" w:line="240" w:lineRule="auto"/>
              <w:rPr>
                <w:rFonts w:asciiTheme="minorHAnsi" w:hAnsiTheme="minorHAnsi" w:cstheme="minorHAnsi"/>
              </w:rPr>
            </w:pPr>
          </w:p>
        </w:tc>
        <w:tc>
          <w:tcPr>
            <w:tcW w:w="2590" w:type="dxa"/>
          </w:tcPr>
          <w:p w14:paraId="4020C30C" w14:textId="1B67E2CC" w:rsidR="004355A5" w:rsidRPr="003860A6" w:rsidRDefault="003860A6" w:rsidP="003860A6">
            <w:pPr>
              <w:pStyle w:val="ListParagraph"/>
              <w:numPr>
                <w:ilvl w:val="0"/>
                <w:numId w:val="6"/>
              </w:numPr>
              <w:spacing w:after="0" w:line="240" w:lineRule="auto"/>
              <w:ind w:left="283"/>
              <w:rPr>
                <w:rFonts w:asciiTheme="minorHAnsi" w:hAnsiTheme="minorHAnsi" w:cstheme="minorHAnsi"/>
              </w:rPr>
            </w:pPr>
            <w:r w:rsidRPr="003860A6">
              <w:rPr>
                <w:rFonts w:asciiTheme="minorHAnsi" w:hAnsiTheme="minorHAnsi" w:cstheme="minorHAnsi"/>
              </w:rPr>
              <w:t>In the year 9 report, NELA noted that 80.3% of high-risk patients were admitted to critical care. 13.9% of high-risk patients were discharged to a normal ward, with a 7% mortality rate.</w:t>
            </w:r>
          </w:p>
        </w:tc>
      </w:tr>
      <w:tr w:rsidR="00C767AF" w:rsidRPr="00C7466A" w14:paraId="7673E56C" w14:textId="77777777" w:rsidTr="002F0D92">
        <w:tc>
          <w:tcPr>
            <w:tcW w:w="716" w:type="dxa"/>
          </w:tcPr>
          <w:p w14:paraId="5766D1E3" w14:textId="78D95743" w:rsidR="004355A5" w:rsidRPr="004355A5" w:rsidRDefault="003860A6" w:rsidP="00900DC1">
            <w:pPr>
              <w:spacing w:after="0" w:line="240" w:lineRule="auto"/>
              <w:rPr>
                <w:rFonts w:asciiTheme="minorHAnsi" w:hAnsiTheme="minorHAnsi" w:cstheme="minorHAnsi"/>
              </w:rPr>
            </w:pPr>
            <w:r>
              <w:rPr>
                <w:rFonts w:asciiTheme="minorHAnsi" w:hAnsiTheme="minorHAnsi" w:cstheme="minorHAnsi"/>
              </w:rPr>
              <w:t>4</w:t>
            </w:r>
          </w:p>
        </w:tc>
        <w:tc>
          <w:tcPr>
            <w:tcW w:w="2673" w:type="dxa"/>
          </w:tcPr>
          <w:p w14:paraId="1E8ED665" w14:textId="2D7F18EB" w:rsidR="004355A5" w:rsidRPr="004355A5" w:rsidRDefault="003860A6" w:rsidP="00900DC1">
            <w:pPr>
              <w:spacing w:after="0" w:line="240" w:lineRule="auto"/>
              <w:rPr>
                <w:rFonts w:asciiTheme="minorHAnsi" w:hAnsiTheme="minorHAnsi" w:cstheme="minorHAnsi"/>
              </w:rPr>
            </w:pPr>
            <w:r>
              <w:rPr>
                <w:sz w:val="20"/>
                <w:szCs w:val="20"/>
              </w:rPr>
              <w:t>S</w:t>
            </w:r>
            <w:r w:rsidRPr="00B64C76">
              <w:rPr>
                <w:sz w:val="20"/>
                <w:szCs w:val="20"/>
              </w:rPr>
              <w:t xml:space="preserve">hould work together across the blended workforce to develop common competency-based training </w:t>
            </w:r>
            <w:r>
              <w:rPr>
                <w:sz w:val="20"/>
                <w:szCs w:val="20"/>
              </w:rPr>
              <w:t>and education</w:t>
            </w:r>
            <w:r w:rsidRPr="00B64C76">
              <w:rPr>
                <w:sz w:val="20"/>
                <w:szCs w:val="20"/>
              </w:rPr>
              <w:t xml:space="preserve"> around optimising perioperative care for older patients and those living with frailty, such that the unmet need for specialist care can </w:t>
            </w:r>
            <w:r>
              <w:rPr>
                <w:sz w:val="20"/>
                <w:szCs w:val="20"/>
              </w:rPr>
              <w:t xml:space="preserve">be </w:t>
            </w:r>
            <w:r w:rsidRPr="00B64C76">
              <w:rPr>
                <w:sz w:val="20"/>
                <w:szCs w:val="20"/>
              </w:rPr>
              <w:t>more reliably delivered.</w:t>
            </w:r>
          </w:p>
        </w:tc>
        <w:tc>
          <w:tcPr>
            <w:tcW w:w="2057" w:type="dxa"/>
          </w:tcPr>
          <w:p w14:paraId="68C3ADDE" w14:textId="4A652779" w:rsidR="004355A5" w:rsidRPr="004355A5" w:rsidRDefault="003860A6" w:rsidP="00900DC1">
            <w:pPr>
              <w:spacing w:after="0" w:line="240" w:lineRule="auto"/>
              <w:rPr>
                <w:rFonts w:asciiTheme="minorHAnsi" w:hAnsiTheme="minorHAnsi" w:cstheme="minorHAnsi"/>
              </w:rPr>
            </w:pPr>
            <w:r>
              <w:rPr>
                <w:b/>
                <w:bCs/>
                <w:sz w:val="20"/>
                <w:szCs w:val="20"/>
              </w:rPr>
              <w:t>Royal College of Anaesthetists, Royal College of Nursing, Royal College of Physicians, Royal College of Surgeons of England, and British Geriatrics Society</w:t>
            </w:r>
          </w:p>
        </w:tc>
        <w:tc>
          <w:tcPr>
            <w:tcW w:w="2018" w:type="dxa"/>
            <w:gridSpan w:val="2"/>
          </w:tcPr>
          <w:p w14:paraId="35F1FAEF" w14:textId="462074FC" w:rsidR="004355A5" w:rsidRPr="004355A5" w:rsidRDefault="003860A6" w:rsidP="003860A6">
            <w:pPr>
              <w:pStyle w:val="ListParagraph"/>
              <w:numPr>
                <w:ilvl w:val="0"/>
                <w:numId w:val="8"/>
              </w:numPr>
              <w:spacing w:after="0" w:line="240" w:lineRule="auto"/>
              <w:ind w:left="344"/>
              <w:rPr>
                <w:rFonts w:asciiTheme="minorHAnsi" w:hAnsiTheme="minorHAnsi" w:cstheme="minorHAnsi"/>
              </w:rPr>
            </w:pPr>
            <w:r w:rsidRPr="003860A6">
              <w:rPr>
                <w:rFonts w:asciiTheme="minorHAnsi" w:hAnsiTheme="minorHAnsi" w:cstheme="minorHAnsi"/>
              </w:rPr>
              <w:t>Page 8: Of 5,918 patients aged 65 or older and living with frailty, or over 80 regardless of frailty status, 2,102 (35.5%) received</w:t>
            </w:r>
            <w:r>
              <w:rPr>
                <w:rFonts w:asciiTheme="minorHAnsi" w:hAnsiTheme="minorHAnsi" w:cstheme="minorHAnsi"/>
              </w:rPr>
              <w:t xml:space="preserve"> </w:t>
            </w:r>
            <w:r w:rsidRPr="003860A6">
              <w:rPr>
                <w:rFonts w:asciiTheme="minorHAnsi" w:hAnsiTheme="minorHAnsi" w:cstheme="minorHAnsi"/>
              </w:rPr>
              <w:t xml:space="preserve">specialist input following </w:t>
            </w:r>
            <w:r w:rsidRPr="003860A6">
              <w:rPr>
                <w:rFonts w:asciiTheme="minorHAnsi" w:hAnsiTheme="minorHAnsi" w:cstheme="minorHAnsi"/>
              </w:rPr>
              <w:lastRenderedPageBreak/>
              <w:t>surgery from a member of the perioperative frailty team</w:t>
            </w:r>
          </w:p>
        </w:tc>
        <w:tc>
          <w:tcPr>
            <w:tcW w:w="1842" w:type="dxa"/>
          </w:tcPr>
          <w:p w14:paraId="1F348223" w14:textId="104439A3" w:rsidR="004355A5" w:rsidRPr="00603F1B" w:rsidRDefault="00603F1B" w:rsidP="00603F1B">
            <w:pPr>
              <w:pStyle w:val="ListParagraph"/>
              <w:numPr>
                <w:ilvl w:val="0"/>
                <w:numId w:val="8"/>
              </w:numPr>
              <w:spacing w:after="0" w:line="240" w:lineRule="auto"/>
              <w:ind w:left="398"/>
              <w:rPr>
                <w:rFonts w:asciiTheme="minorHAnsi" w:hAnsiTheme="minorHAnsi" w:cstheme="minorHAnsi"/>
              </w:rPr>
            </w:pPr>
            <w:r w:rsidRPr="00603F1B">
              <w:rPr>
                <w:rFonts w:asciiTheme="minorHAnsi" w:hAnsiTheme="minorHAnsi" w:cstheme="minorHAnsi"/>
                <w:bCs/>
              </w:rPr>
              <w:lastRenderedPageBreak/>
              <w:t>All hospitals should have a perioperative frailty team with expertise in CGA providing clinical care through the pathway</w:t>
            </w:r>
          </w:p>
        </w:tc>
        <w:tc>
          <w:tcPr>
            <w:tcW w:w="1677" w:type="dxa"/>
          </w:tcPr>
          <w:p w14:paraId="3C712DFD" w14:textId="38A3A821" w:rsidR="004355A5" w:rsidRPr="00603F1B" w:rsidRDefault="00603F1B" w:rsidP="00603F1B">
            <w:pPr>
              <w:pStyle w:val="ListParagraph"/>
              <w:numPr>
                <w:ilvl w:val="0"/>
                <w:numId w:val="8"/>
              </w:numPr>
              <w:spacing w:after="0" w:line="240" w:lineRule="auto"/>
              <w:ind w:left="393"/>
              <w:rPr>
                <w:rFonts w:asciiTheme="minorHAnsi" w:hAnsiTheme="minorHAnsi" w:cstheme="minorHAnsi"/>
              </w:rPr>
            </w:pPr>
            <w:r>
              <w:rPr>
                <w:rFonts w:asciiTheme="minorHAnsi" w:hAnsiTheme="minorHAnsi" w:cstheme="minorHAnsi"/>
              </w:rPr>
              <w:t>Emergency laparotomy Best Practice Tariff</w:t>
            </w:r>
          </w:p>
        </w:tc>
        <w:tc>
          <w:tcPr>
            <w:tcW w:w="1815" w:type="dxa"/>
          </w:tcPr>
          <w:p w14:paraId="5CFE225E" w14:textId="0902C309" w:rsidR="004355A5" w:rsidRPr="00603F1B" w:rsidRDefault="00C767AF" w:rsidP="00603F1B">
            <w:pPr>
              <w:pStyle w:val="ListParagraph"/>
              <w:numPr>
                <w:ilvl w:val="0"/>
                <w:numId w:val="8"/>
              </w:numPr>
              <w:spacing w:after="0" w:line="240" w:lineRule="auto"/>
              <w:ind w:left="370"/>
              <w:rPr>
                <w:rFonts w:asciiTheme="minorHAnsi" w:hAnsiTheme="minorHAnsi" w:cstheme="minorHAnsi"/>
              </w:rPr>
            </w:pPr>
            <w:hyperlink r:id="rId12" w:history="1">
              <w:r w:rsidRPr="0003226C">
                <w:rPr>
                  <w:rStyle w:val="Hyperlink"/>
                  <w:rFonts w:asciiTheme="minorHAnsi" w:hAnsiTheme="minorHAnsi" w:cstheme="minorHAnsi"/>
                </w:rPr>
                <w:t>Guideline for perioperative care for people living with frailty undergoing elective and emergency surgery</w:t>
              </w:r>
            </w:hyperlink>
            <w:r w:rsidR="00603F1B">
              <w:rPr>
                <w:rFonts w:asciiTheme="minorHAnsi" w:hAnsiTheme="minorHAnsi" w:cstheme="minorHAnsi"/>
              </w:rPr>
              <w:t>. Centre for Perioperative Care 2021.</w:t>
            </w:r>
          </w:p>
        </w:tc>
        <w:tc>
          <w:tcPr>
            <w:tcW w:w="2590" w:type="dxa"/>
          </w:tcPr>
          <w:p w14:paraId="1C7959BA" w14:textId="722706B7" w:rsidR="004355A5" w:rsidRPr="00603F1B" w:rsidRDefault="00603F1B" w:rsidP="00603F1B">
            <w:pPr>
              <w:pStyle w:val="ListParagraph"/>
              <w:numPr>
                <w:ilvl w:val="0"/>
                <w:numId w:val="8"/>
              </w:numPr>
              <w:spacing w:after="0" w:line="240" w:lineRule="auto"/>
              <w:ind w:left="343"/>
              <w:rPr>
                <w:rFonts w:asciiTheme="minorHAnsi" w:hAnsiTheme="minorHAnsi" w:cstheme="minorHAnsi"/>
              </w:rPr>
            </w:pPr>
            <w:r w:rsidRPr="00603F1B">
              <w:rPr>
                <w:rFonts w:asciiTheme="minorHAnsi" w:hAnsiTheme="minorHAnsi" w:cstheme="minorHAnsi"/>
              </w:rPr>
              <w:t xml:space="preserve">In NELA year 9, </w:t>
            </w:r>
            <w:r>
              <w:t xml:space="preserve">33.2% of patients aged 65 or older and living with frailty, or aged 80 or older regardless of frailty status, received multidisciplinary perioperative input by members of a geriatrician-led team. However, the definition of </w:t>
            </w:r>
            <w:r>
              <w:lastRenderedPageBreak/>
              <w:t xml:space="preserve">‘perioperative input’ for elderly care has changed throughout the audit, making direct comparison to previous years difficult. </w:t>
            </w:r>
          </w:p>
        </w:tc>
      </w:tr>
    </w:tbl>
    <w:p w14:paraId="00CD0829" w14:textId="77777777" w:rsidR="002F2FD6" w:rsidRPr="00C7466A" w:rsidRDefault="002F2FD6">
      <w:pPr>
        <w:rPr>
          <w:rFonts w:cs="Calibri"/>
          <w:sz w:val="20"/>
          <w:szCs w:val="20"/>
        </w:rPr>
      </w:pPr>
    </w:p>
    <w:sectPr w:rsidR="002F2FD6" w:rsidRPr="00C7466A" w:rsidSect="004355A5">
      <w:footerReference w:type="default" r:id="rId13"/>
      <w:pgSz w:w="16838" w:h="11906" w:orient="landscape"/>
      <w:pgMar w:top="720" w:right="720" w:bottom="720" w:left="72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02EC" w14:textId="77777777" w:rsidR="000A1862" w:rsidRDefault="000A1862" w:rsidP="00AB1ED2">
      <w:pPr>
        <w:spacing w:after="0" w:line="240" w:lineRule="auto"/>
      </w:pPr>
      <w:r>
        <w:separator/>
      </w:r>
    </w:p>
  </w:endnote>
  <w:endnote w:type="continuationSeparator" w:id="0">
    <w:p w14:paraId="6799D1F9" w14:textId="77777777" w:rsidR="000A1862" w:rsidRDefault="000A1862" w:rsidP="00AB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3A7A" w14:textId="7681E04E" w:rsidR="00AB1ED2" w:rsidRDefault="004355A5">
    <w:pPr>
      <w:pStyle w:val="Footer"/>
    </w:pPr>
    <w:r>
      <w:rPr>
        <w:i/>
        <w:iCs/>
        <w:sz w:val="18"/>
        <w:szCs w:val="18"/>
      </w:rPr>
      <w:t xml:space="preserve">Appendix 20: </w:t>
    </w:r>
    <w:r w:rsidRPr="004355A5">
      <w:rPr>
        <w:i/>
        <w:iCs/>
        <w:sz w:val="18"/>
        <w:szCs w:val="18"/>
      </w:rPr>
      <w:t>Line of sight table v4, June 2023</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AB1ED2" w:rsidRPr="004355A5">
      <w:rPr>
        <w:i/>
        <w:iCs/>
        <w:sz w:val="18"/>
        <w:szCs w:val="18"/>
      </w:rPr>
      <w:t xml:space="preserve">Page </w:t>
    </w:r>
    <w:r w:rsidR="00AB1ED2" w:rsidRPr="004355A5">
      <w:rPr>
        <w:bCs/>
        <w:i/>
        <w:iCs/>
        <w:sz w:val="18"/>
        <w:szCs w:val="18"/>
      </w:rPr>
      <w:fldChar w:fldCharType="begin"/>
    </w:r>
    <w:r w:rsidR="00AB1ED2" w:rsidRPr="004355A5">
      <w:rPr>
        <w:bCs/>
        <w:i/>
        <w:iCs/>
        <w:sz w:val="18"/>
        <w:szCs w:val="18"/>
      </w:rPr>
      <w:instrText xml:space="preserve"> PAGE </w:instrText>
    </w:r>
    <w:r w:rsidR="00AB1ED2" w:rsidRPr="004355A5">
      <w:rPr>
        <w:bCs/>
        <w:i/>
        <w:iCs/>
        <w:sz w:val="18"/>
        <w:szCs w:val="18"/>
      </w:rPr>
      <w:fldChar w:fldCharType="separate"/>
    </w:r>
    <w:r w:rsidR="00900DC1" w:rsidRPr="004355A5">
      <w:rPr>
        <w:bCs/>
        <w:i/>
        <w:iCs/>
        <w:noProof/>
        <w:sz w:val="18"/>
        <w:szCs w:val="18"/>
      </w:rPr>
      <w:t>2</w:t>
    </w:r>
    <w:r w:rsidR="00AB1ED2" w:rsidRPr="004355A5">
      <w:rPr>
        <w:bCs/>
        <w:i/>
        <w:iCs/>
        <w:sz w:val="18"/>
        <w:szCs w:val="18"/>
      </w:rPr>
      <w:fldChar w:fldCharType="end"/>
    </w:r>
    <w:r w:rsidR="00AB1ED2" w:rsidRPr="004355A5">
      <w:rPr>
        <w:i/>
        <w:iCs/>
        <w:sz w:val="18"/>
        <w:szCs w:val="18"/>
      </w:rPr>
      <w:t xml:space="preserve"> of </w:t>
    </w:r>
    <w:r w:rsidR="00AB1ED2" w:rsidRPr="004355A5">
      <w:rPr>
        <w:bCs/>
        <w:i/>
        <w:iCs/>
        <w:sz w:val="18"/>
        <w:szCs w:val="18"/>
      </w:rPr>
      <w:fldChar w:fldCharType="begin"/>
    </w:r>
    <w:r w:rsidR="00AB1ED2" w:rsidRPr="004355A5">
      <w:rPr>
        <w:bCs/>
        <w:i/>
        <w:iCs/>
        <w:sz w:val="18"/>
        <w:szCs w:val="18"/>
      </w:rPr>
      <w:instrText xml:space="preserve"> NUMPAGES  </w:instrText>
    </w:r>
    <w:r w:rsidR="00AB1ED2" w:rsidRPr="004355A5">
      <w:rPr>
        <w:bCs/>
        <w:i/>
        <w:iCs/>
        <w:sz w:val="18"/>
        <w:szCs w:val="18"/>
      </w:rPr>
      <w:fldChar w:fldCharType="separate"/>
    </w:r>
    <w:r w:rsidR="00900DC1" w:rsidRPr="004355A5">
      <w:rPr>
        <w:bCs/>
        <w:i/>
        <w:iCs/>
        <w:noProof/>
        <w:sz w:val="18"/>
        <w:szCs w:val="18"/>
      </w:rPr>
      <w:t>2</w:t>
    </w:r>
    <w:r w:rsidR="00AB1ED2" w:rsidRPr="004355A5">
      <w:rPr>
        <w:bCs/>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BCFF" w14:textId="77777777" w:rsidR="000A1862" w:rsidRDefault="000A1862" w:rsidP="00AB1ED2">
      <w:pPr>
        <w:spacing w:after="0" w:line="240" w:lineRule="auto"/>
      </w:pPr>
      <w:r>
        <w:separator/>
      </w:r>
    </w:p>
  </w:footnote>
  <w:footnote w:type="continuationSeparator" w:id="0">
    <w:p w14:paraId="332028D9" w14:textId="77777777" w:rsidR="000A1862" w:rsidRDefault="000A1862" w:rsidP="00AB1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6479F"/>
    <w:multiLevelType w:val="multilevel"/>
    <w:tmpl w:val="BDD8B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217ED6"/>
    <w:multiLevelType w:val="hybridMultilevel"/>
    <w:tmpl w:val="79E4A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BF1606"/>
    <w:multiLevelType w:val="hybridMultilevel"/>
    <w:tmpl w:val="BA72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44A3A"/>
    <w:multiLevelType w:val="hybridMultilevel"/>
    <w:tmpl w:val="5784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025A7E"/>
    <w:multiLevelType w:val="hybridMultilevel"/>
    <w:tmpl w:val="DA1C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733674"/>
    <w:multiLevelType w:val="hybridMultilevel"/>
    <w:tmpl w:val="FA7ABAD2"/>
    <w:lvl w:ilvl="0" w:tplc="93EA0BFA">
      <w:start w:val="1"/>
      <w:numFmt w:val="decimal"/>
      <w:lvlText w:val="%1."/>
      <w:lvlJc w:val="left"/>
      <w:pPr>
        <w:ind w:left="720" w:hanging="360"/>
      </w:pPr>
      <w:rPr>
        <w:rFonts w:eastAsia="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4F2CB7"/>
    <w:multiLevelType w:val="hybridMultilevel"/>
    <w:tmpl w:val="2702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8652E7"/>
    <w:multiLevelType w:val="hybridMultilevel"/>
    <w:tmpl w:val="4608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051551">
    <w:abstractNumId w:val="7"/>
  </w:num>
  <w:num w:numId="2" w16cid:durableId="552695018">
    <w:abstractNumId w:val="1"/>
  </w:num>
  <w:num w:numId="3" w16cid:durableId="440416153">
    <w:abstractNumId w:val="0"/>
  </w:num>
  <w:num w:numId="4" w16cid:durableId="1334068833">
    <w:abstractNumId w:val="5"/>
  </w:num>
  <w:num w:numId="5" w16cid:durableId="1991402413">
    <w:abstractNumId w:val="2"/>
  </w:num>
  <w:num w:numId="6" w16cid:durableId="1552957700">
    <w:abstractNumId w:val="4"/>
  </w:num>
  <w:num w:numId="7" w16cid:durableId="997538227">
    <w:abstractNumId w:val="3"/>
  </w:num>
  <w:num w:numId="8" w16cid:durableId="519197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18"/>
    <w:rsid w:val="00004BDA"/>
    <w:rsid w:val="00006869"/>
    <w:rsid w:val="0003226C"/>
    <w:rsid w:val="00080C06"/>
    <w:rsid w:val="00082A47"/>
    <w:rsid w:val="000A1862"/>
    <w:rsid w:val="000F34F8"/>
    <w:rsid w:val="00153E25"/>
    <w:rsid w:val="00221C0A"/>
    <w:rsid w:val="00232B28"/>
    <w:rsid w:val="002F0D92"/>
    <w:rsid w:val="002F2FD6"/>
    <w:rsid w:val="00321E5B"/>
    <w:rsid w:val="003751D0"/>
    <w:rsid w:val="003860A6"/>
    <w:rsid w:val="003A5FC1"/>
    <w:rsid w:val="00420FC9"/>
    <w:rsid w:val="004212BB"/>
    <w:rsid w:val="00431444"/>
    <w:rsid w:val="004355A5"/>
    <w:rsid w:val="00566815"/>
    <w:rsid w:val="005A6975"/>
    <w:rsid w:val="005C4D00"/>
    <w:rsid w:val="005E7BEB"/>
    <w:rsid w:val="00603F1B"/>
    <w:rsid w:val="00663D2C"/>
    <w:rsid w:val="00677636"/>
    <w:rsid w:val="00775ABC"/>
    <w:rsid w:val="007D795F"/>
    <w:rsid w:val="007E5382"/>
    <w:rsid w:val="007F34BE"/>
    <w:rsid w:val="0087680E"/>
    <w:rsid w:val="00897779"/>
    <w:rsid w:val="008E6341"/>
    <w:rsid w:val="008E7EE6"/>
    <w:rsid w:val="00900DC1"/>
    <w:rsid w:val="00964631"/>
    <w:rsid w:val="00986718"/>
    <w:rsid w:val="00A94ECB"/>
    <w:rsid w:val="00AB1ED2"/>
    <w:rsid w:val="00B334DC"/>
    <w:rsid w:val="00BB3DAC"/>
    <w:rsid w:val="00BB5E19"/>
    <w:rsid w:val="00BC1CB7"/>
    <w:rsid w:val="00BE5154"/>
    <w:rsid w:val="00BF4322"/>
    <w:rsid w:val="00C3059E"/>
    <w:rsid w:val="00C43E31"/>
    <w:rsid w:val="00C730F8"/>
    <w:rsid w:val="00C7466A"/>
    <w:rsid w:val="00C767AF"/>
    <w:rsid w:val="00C769DB"/>
    <w:rsid w:val="00D54A97"/>
    <w:rsid w:val="00D54FC7"/>
    <w:rsid w:val="00D55632"/>
    <w:rsid w:val="00D77559"/>
    <w:rsid w:val="00DB28AD"/>
    <w:rsid w:val="00DF4E55"/>
    <w:rsid w:val="00DF7380"/>
    <w:rsid w:val="00E84EEE"/>
    <w:rsid w:val="00ED4CE9"/>
    <w:rsid w:val="00EF1657"/>
    <w:rsid w:val="00F313B7"/>
    <w:rsid w:val="00F448C6"/>
    <w:rsid w:val="00FC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CA6F56"/>
  <w15:chartTrackingRefBased/>
  <w15:docId w15:val="{4460E5AE-4F49-4811-A645-85F827C9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D2"/>
  </w:style>
  <w:style w:type="paragraph" w:styleId="Footer">
    <w:name w:val="footer"/>
    <w:basedOn w:val="Normal"/>
    <w:link w:val="FooterChar"/>
    <w:uiPriority w:val="99"/>
    <w:unhideWhenUsed/>
    <w:rsid w:val="00AB1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D2"/>
  </w:style>
  <w:style w:type="paragraph" w:styleId="ListParagraph">
    <w:name w:val="List Paragraph"/>
    <w:basedOn w:val="Normal"/>
    <w:uiPriority w:val="34"/>
    <w:qFormat/>
    <w:rsid w:val="007E5382"/>
    <w:pPr>
      <w:ind w:left="720"/>
      <w:contextualSpacing/>
    </w:pPr>
  </w:style>
  <w:style w:type="character" w:styleId="CommentReference">
    <w:name w:val="annotation reference"/>
    <w:uiPriority w:val="99"/>
    <w:semiHidden/>
    <w:unhideWhenUsed/>
    <w:rsid w:val="00BE5154"/>
    <w:rPr>
      <w:sz w:val="16"/>
      <w:szCs w:val="16"/>
    </w:rPr>
  </w:style>
  <w:style w:type="paragraph" w:styleId="CommentText">
    <w:name w:val="annotation text"/>
    <w:basedOn w:val="Normal"/>
    <w:link w:val="CommentTextChar"/>
    <w:uiPriority w:val="99"/>
    <w:semiHidden/>
    <w:unhideWhenUsed/>
    <w:rsid w:val="00BE5154"/>
    <w:pPr>
      <w:spacing w:line="240" w:lineRule="auto"/>
    </w:pPr>
    <w:rPr>
      <w:sz w:val="20"/>
      <w:szCs w:val="20"/>
    </w:rPr>
  </w:style>
  <w:style w:type="character" w:customStyle="1" w:styleId="CommentTextChar">
    <w:name w:val="Comment Text Char"/>
    <w:link w:val="CommentText"/>
    <w:uiPriority w:val="99"/>
    <w:semiHidden/>
    <w:rsid w:val="00BE5154"/>
    <w:rPr>
      <w:sz w:val="20"/>
      <w:szCs w:val="20"/>
    </w:rPr>
  </w:style>
  <w:style w:type="paragraph" w:styleId="CommentSubject">
    <w:name w:val="annotation subject"/>
    <w:basedOn w:val="CommentText"/>
    <w:next w:val="CommentText"/>
    <w:link w:val="CommentSubjectChar"/>
    <w:uiPriority w:val="99"/>
    <w:semiHidden/>
    <w:unhideWhenUsed/>
    <w:rsid w:val="00BE5154"/>
    <w:rPr>
      <w:b/>
      <w:bCs/>
    </w:rPr>
  </w:style>
  <w:style w:type="character" w:customStyle="1" w:styleId="CommentSubjectChar">
    <w:name w:val="Comment Subject Char"/>
    <w:link w:val="CommentSubject"/>
    <w:uiPriority w:val="99"/>
    <w:semiHidden/>
    <w:rsid w:val="00BE5154"/>
    <w:rPr>
      <w:b/>
      <w:bCs/>
      <w:sz w:val="20"/>
      <w:szCs w:val="20"/>
    </w:rPr>
  </w:style>
  <w:style w:type="paragraph" w:styleId="BalloonText">
    <w:name w:val="Balloon Text"/>
    <w:basedOn w:val="Normal"/>
    <w:link w:val="BalloonTextChar"/>
    <w:uiPriority w:val="99"/>
    <w:semiHidden/>
    <w:unhideWhenUsed/>
    <w:rsid w:val="00BE51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5154"/>
    <w:rPr>
      <w:rFonts w:ascii="Tahoma" w:hAnsi="Tahoma" w:cs="Tahoma"/>
      <w:sz w:val="16"/>
      <w:szCs w:val="16"/>
    </w:rPr>
  </w:style>
  <w:style w:type="character" w:styleId="Hyperlink">
    <w:name w:val="Hyperlink"/>
    <w:basedOn w:val="DefaultParagraphFont"/>
    <w:uiPriority w:val="99"/>
    <w:unhideWhenUsed/>
    <w:rsid w:val="0003226C"/>
    <w:rPr>
      <w:color w:val="0563C1" w:themeColor="hyperlink"/>
      <w:u w:val="single"/>
    </w:rPr>
  </w:style>
  <w:style w:type="character" w:styleId="UnresolvedMention">
    <w:name w:val="Unresolved Mention"/>
    <w:basedOn w:val="DefaultParagraphFont"/>
    <w:uiPriority w:val="99"/>
    <w:semiHidden/>
    <w:unhideWhenUsed/>
    <w:rsid w:val="0003226C"/>
    <w:rPr>
      <w:color w:val="605E5C"/>
      <w:shd w:val="clear" w:color="auto" w:fill="E1DFDD"/>
    </w:rPr>
  </w:style>
  <w:style w:type="paragraph" w:styleId="Revision">
    <w:name w:val="Revision"/>
    <w:hidden/>
    <w:uiPriority w:val="99"/>
    <w:semiHidden/>
    <w:rsid w:val="00153E2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06296">
      <w:bodyDiv w:val="1"/>
      <w:marLeft w:val="0"/>
      <w:marRight w:val="0"/>
      <w:marTop w:val="0"/>
      <w:marBottom w:val="0"/>
      <w:divBdr>
        <w:top w:val="none" w:sz="0" w:space="0" w:color="auto"/>
        <w:left w:val="none" w:sz="0" w:space="0" w:color="auto"/>
        <w:bottom w:val="none" w:sz="0" w:space="0" w:color="auto"/>
        <w:right w:val="none" w:sz="0" w:space="0" w:color="auto"/>
      </w:divBdr>
    </w:div>
    <w:div w:id="1051684765">
      <w:bodyDiv w:val="1"/>
      <w:marLeft w:val="0"/>
      <w:marRight w:val="0"/>
      <w:marTop w:val="0"/>
      <w:marBottom w:val="0"/>
      <w:divBdr>
        <w:top w:val="none" w:sz="0" w:space="0" w:color="auto"/>
        <w:left w:val="none" w:sz="0" w:space="0" w:color="auto"/>
        <w:bottom w:val="none" w:sz="0" w:space="0" w:color="auto"/>
        <w:right w:val="none" w:sz="0" w:space="0" w:color="auto"/>
      </w:divBdr>
    </w:div>
    <w:div w:id="1254242799">
      <w:bodyDiv w:val="1"/>
      <w:marLeft w:val="0"/>
      <w:marRight w:val="0"/>
      <w:marTop w:val="0"/>
      <w:marBottom w:val="0"/>
      <w:divBdr>
        <w:top w:val="none" w:sz="0" w:space="0" w:color="auto"/>
        <w:left w:val="none" w:sz="0" w:space="0" w:color="auto"/>
        <w:bottom w:val="none" w:sz="0" w:space="0" w:color="auto"/>
        <w:right w:val="none" w:sz="0" w:space="0" w:color="auto"/>
      </w:divBdr>
    </w:div>
    <w:div w:id="18463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mrc.org.uk/wp-content/uploads/2022/10/Statement_on_the_initial_antimicrobial_treatment_of_sepsis_V2_102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cseng.ac.uk/-/media/files/rcs/news-and-events/media-centre/2018-press-releases-documents/rcs-report-the-highrisk-general-surgical-patient--raising-the-standard--december-2018.pdf" TargetMode="External"/><Relationship Id="rId12" Type="http://schemas.openxmlformats.org/officeDocument/2006/relationships/hyperlink" Target="https://www.cpoc.org.uk/sites/cpoc/files/documents/2021-09/CPOC-BGS-Frailty-Guideline-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seng.ac.uk/-/media/files/rcs/news-and-events/media-centre/2018-press-releases-documents/rcs-report-the-highrisk-general-surgical-patient--raising-the-standard--december-2018.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cseng.ac.uk/-/media/files/rcs/news-and-events/media-centre/2018-press-releases-documents/rcs-report-the-highrisk-general-surgical-patient--raising-the-standard--december-2018.pdf" TargetMode="External"/><Relationship Id="rId4" Type="http://schemas.openxmlformats.org/officeDocument/2006/relationships/webSettings" Target="webSettings.xml"/><Relationship Id="rId9" Type="http://schemas.openxmlformats.org/officeDocument/2006/relationships/hyperlink" Target="https://www.rcseng.ac.uk/-/media/files/rcs/news-and-events/media-centre/2018-press-releases-documents/rcs-report-the-highrisk-general-surgical-patient--raising-the-standard--december-201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Olatunde</dc:creator>
  <cp:keywords/>
  <cp:lastModifiedBy>Christine Taylor</cp:lastModifiedBy>
  <cp:revision>2</cp:revision>
  <dcterms:created xsi:type="dcterms:W3CDTF">2025-08-28T10:21:00Z</dcterms:created>
  <dcterms:modified xsi:type="dcterms:W3CDTF">2025-08-28T10:21:00Z</dcterms:modified>
</cp:coreProperties>
</file>