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FC96" w14:textId="0CE6B48C" w:rsidR="00321138" w:rsidRPr="00332ADD" w:rsidRDefault="00321138" w:rsidP="00E32E7E">
      <w:pPr>
        <w:tabs>
          <w:tab w:val="left" w:pos="2127"/>
        </w:tabs>
        <w:autoSpaceDE w:val="0"/>
        <w:autoSpaceDN w:val="0"/>
        <w:adjustRightInd w:val="0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 xml:space="preserve">Job Title: </w:t>
      </w: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</w:r>
      <w:r w:rsidRPr="00332ADD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 xml:space="preserve">National Emergency Laparotomy Audit (NELA) </w:t>
      </w:r>
      <w:r w:rsidR="00DC7B3B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>Nurs</w:t>
      </w:r>
      <w:r w:rsidR="009C54C5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>e</w:t>
      </w:r>
      <w:r w:rsidR="003E4018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>/</w:t>
      </w:r>
      <w:r w:rsidR="009C54C5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>AHP</w:t>
      </w:r>
      <w:r w:rsidRPr="00332ADD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 xml:space="preserve"> Lead</w:t>
      </w:r>
    </w:p>
    <w:p w14:paraId="74F3AF53" w14:textId="77777777" w:rsidR="00321138" w:rsidRPr="00332ADD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 xml:space="preserve">Directorate: </w:t>
      </w: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</w: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>Clinical Quality &amp; Research</w:t>
      </w:r>
    </w:p>
    <w:p w14:paraId="439A0321" w14:textId="77777777" w:rsidR="00321138" w:rsidRPr="00332ADD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 xml:space="preserve">Responsible to: </w:t>
      </w: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</w: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>Professionally responsible to the Chai</w:t>
      </w:r>
      <w:r w:rsidR="008F18CF"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r </w:t>
      </w: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of the </w:t>
      </w:r>
      <w:r w:rsidRPr="00332ADD">
        <w:rPr>
          <w:rFonts w:ascii="Century Gothic" w:hAnsi="Century Gothic"/>
          <w:sz w:val="22"/>
          <w:szCs w:val="22"/>
        </w:rPr>
        <w:t>National Emergency Laparotomy Project Team</w:t>
      </w:r>
    </w:p>
    <w:p w14:paraId="0676EC1F" w14:textId="77777777" w:rsidR="00321138" w:rsidRPr="00332ADD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ab/>
        <w:t>Managerially responsible to the Director of Clinical Quality &amp; Research</w:t>
      </w:r>
    </w:p>
    <w:p w14:paraId="1B4D20A7" w14:textId="77777777" w:rsidR="00321138" w:rsidRPr="00727EE8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,Bold"/>
          <w:b/>
          <w:bCs/>
          <w:color w:val="000000"/>
          <w:sz w:val="4"/>
          <w:szCs w:val="4"/>
          <w:lang w:eastAsia="en-GB"/>
        </w:rPr>
      </w:pPr>
    </w:p>
    <w:p w14:paraId="78EA73C4" w14:textId="1675A711" w:rsidR="00321138" w:rsidRPr="00332ADD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>Main function:</w:t>
      </w: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  <w:t xml:space="preserve">To </w:t>
      </w: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provide</w:t>
      </w:r>
      <w:r w:rsidR="009C54C5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 </w:t>
      </w: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leadership </w:t>
      </w:r>
      <w:r w:rsidR="008F18CF"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to</w:t>
      </w:r>
      <w:r w:rsidR="003C561C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,</w:t>
      </w:r>
      <w:r w:rsidR="008F18CF"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 </w:t>
      </w: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and drive further development of</w:t>
      </w:r>
      <w:r w:rsidR="003C561C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,</w:t>
      </w: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 the National Emergency Laparotomy Audit</w:t>
      </w:r>
      <w:r w:rsidR="000F7A2A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 across the wider multidisciplinary team</w:t>
      </w:r>
    </w:p>
    <w:p w14:paraId="556822E2" w14:textId="77777777" w:rsidR="00321138" w:rsidRPr="00727EE8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170F1B89" w14:textId="3F7EE57E" w:rsidR="00321138" w:rsidRDefault="00321138" w:rsidP="00727EE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Key relationships:</w:t>
      </w: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ab/>
      </w: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>RCoA Director of Clinical Quality &amp; Research; Chair, NELA Project Team; NELA Project Board; NELA Clinical Reference Group; RCoA Administrative Team, sp</w:t>
      </w:r>
      <w:r w:rsidR="00AB1FB5">
        <w:rPr>
          <w:rFonts w:ascii="Century Gothic" w:hAnsi="Century Gothic" w:cs="Calibri"/>
          <w:color w:val="000000"/>
          <w:sz w:val="22"/>
          <w:szCs w:val="22"/>
          <w:lang w:eastAsia="en-GB"/>
        </w:rPr>
        <w:t>ecifically</w:t>
      </w:r>
      <w:r w:rsid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</w:t>
      </w:r>
      <w:r w:rsidR="00332ADD"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>RCoA Research Manager</w:t>
      </w:r>
      <w:r w:rsid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>, RCoA</w:t>
      </w: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Audit &amp; Research Administrator; RCoA College Council</w:t>
      </w:r>
    </w:p>
    <w:p w14:paraId="0236D8C3" w14:textId="77777777" w:rsidR="007A4A6B" w:rsidRPr="00727EE8" w:rsidRDefault="007A4A6B" w:rsidP="00727EE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</w:p>
    <w:p w14:paraId="39A00BAB" w14:textId="77777777" w:rsidR="00321138" w:rsidRPr="00246FC8" w:rsidRDefault="00321138" w:rsidP="00321138">
      <w:pPr>
        <w:pStyle w:val="Subhead2"/>
        <w:rPr>
          <w:rFonts w:ascii="Century Gothic" w:hAnsi="Century Gothic"/>
          <w:color w:val="auto"/>
          <w:sz w:val="24"/>
          <w:szCs w:val="24"/>
        </w:rPr>
      </w:pPr>
      <w:r w:rsidRPr="00246FC8">
        <w:rPr>
          <w:rFonts w:ascii="Century Gothic" w:hAnsi="Century Gothic"/>
          <w:color w:val="auto"/>
          <w:sz w:val="24"/>
          <w:szCs w:val="24"/>
        </w:rPr>
        <w:t>SPECIFIC DUTIES AND RESPONSIBILITIES</w:t>
      </w:r>
    </w:p>
    <w:p w14:paraId="4BEC821A" w14:textId="5CCD6ADF" w:rsidR="00321138" w:rsidRPr="00332ADD" w:rsidRDefault="00321138" w:rsidP="00332ADD">
      <w:pPr>
        <w:tabs>
          <w:tab w:val="left" w:pos="426"/>
        </w:tabs>
        <w:autoSpaceDE w:val="0"/>
        <w:autoSpaceDN w:val="0"/>
        <w:adjustRightInd w:val="0"/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/>
          <w:b/>
          <w:sz w:val="22"/>
          <w:szCs w:val="22"/>
        </w:rPr>
        <w:t xml:space="preserve">Provide overall </w:t>
      </w:r>
      <w:r w:rsidR="00DC7B3B">
        <w:rPr>
          <w:rFonts w:ascii="Century Gothic" w:hAnsi="Century Gothic"/>
          <w:b/>
          <w:sz w:val="22"/>
          <w:szCs w:val="22"/>
        </w:rPr>
        <w:t>nursing</w:t>
      </w:r>
      <w:r w:rsidR="00730206">
        <w:rPr>
          <w:rFonts w:ascii="Century Gothic" w:hAnsi="Century Gothic"/>
          <w:b/>
          <w:sz w:val="22"/>
          <w:szCs w:val="22"/>
        </w:rPr>
        <w:t>/AHP</w:t>
      </w:r>
      <w:r w:rsidR="006D62F6">
        <w:rPr>
          <w:rFonts w:ascii="Century Gothic" w:hAnsi="Century Gothic"/>
          <w:b/>
          <w:sz w:val="22"/>
          <w:szCs w:val="22"/>
        </w:rPr>
        <w:t xml:space="preserve"> </w:t>
      </w:r>
      <w:r w:rsidRPr="00332ADD">
        <w:rPr>
          <w:rFonts w:ascii="Century Gothic" w:hAnsi="Century Gothic"/>
          <w:b/>
          <w:sz w:val="22"/>
          <w:szCs w:val="22"/>
        </w:rPr>
        <w:t>leadership and direction to the NELA Project</w:t>
      </w:r>
    </w:p>
    <w:p w14:paraId="4B47F743" w14:textId="77777777" w:rsidR="00321138" w:rsidRPr="00F30F51" w:rsidRDefault="00321138" w:rsidP="00321138">
      <w:pPr>
        <w:pStyle w:val="Numberedheading"/>
        <w:rPr>
          <w:rFonts w:ascii="Century Gothic" w:hAnsi="Century Gothic"/>
          <w:sz w:val="10"/>
          <w:szCs w:val="10"/>
          <w:lang w:val="en-GB"/>
        </w:rPr>
      </w:pPr>
    </w:p>
    <w:p w14:paraId="6EAAA706" w14:textId="6171113D" w:rsidR="00D81DA9" w:rsidRDefault="00D81DA9" w:rsidP="00D81DA9">
      <w:pPr>
        <w:pStyle w:val="ListParagraph"/>
        <w:numPr>
          <w:ilvl w:val="0"/>
          <w:numId w:val="5"/>
        </w:numPr>
      </w:pPr>
      <w:r>
        <w:t xml:space="preserve">Maintain a national </w:t>
      </w:r>
      <w:r w:rsidR="00F13D37">
        <w:t>multi-disciplinary team (</w:t>
      </w:r>
      <w:r>
        <w:t>MDT</w:t>
      </w:r>
      <w:r w:rsidR="00F13D37">
        <w:t>)</w:t>
      </w:r>
      <w:r>
        <w:t xml:space="preserve"> network of nursing and allied health professional colleagues working in specialist emergency laparotomy roles through mapping of service provision nationally </w:t>
      </w:r>
    </w:p>
    <w:p w14:paraId="23D67DAE" w14:textId="77777777" w:rsidR="00D81DA9" w:rsidRDefault="00D81DA9" w:rsidP="00D81DA9">
      <w:pPr>
        <w:pStyle w:val="ListParagraph"/>
        <w:numPr>
          <w:ilvl w:val="0"/>
          <w:numId w:val="0"/>
        </w:numPr>
        <w:ind w:left="1080"/>
      </w:pPr>
    </w:p>
    <w:p w14:paraId="76A03EAB" w14:textId="77777777" w:rsidR="00D81DA9" w:rsidRDefault="00D81DA9" w:rsidP="00D81DA9">
      <w:pPr>
        <w:pStyle w:val="ListParagraph"/>
        <w:numPr>
          <w:ilvl w:val="0"/>
          <w:numId w:val="5"/>
        </w:numPr>
      </w:pPr>
      <w:r>
        <w:t>Support the MDT network with regular educational/clinical supervision/shared learning content, feeding development and progress back to NELA Project Team</w:t>
      </w:r>
    </w:p>
    <w:p w14:paraId="7C912ABE" w14:textId="77777777" w:rsidR="00D81DA9" w:rsidRDefault="00D81DA9" w:rsidP="00D81DA9">
      <w:pPr>
        <w:pStyle w:val="ListParagraph"/>
        <w:numPr>
          <w:ilvl w:val="0"/>
          <w:numId w:val="0"/>
        </w:numPr>
        <w:ind w:left="1080"/>
      </w:pPr>
    </w:p>
    <w:p w14:paraId="6821A857" w14:textId="77777777" w:rsidR="00D81DA9" w:rsidRDefault="00D81DA9" w:rsidP="00D81DA9">
      <w:pPr>
        <w:pStyle w:val="ListParagraph"/>
        <w:numPr>
          <w:ilvl w:val="0"/>
          <w:numId w:val="5"/>
        </w:numPr>
      </w:pPr>
      <w:r>
        <w:t>Develop standardised job descriptions for NELA nurse/AHP practitioners, along with dedicated content on the NELA website, with advice on potential KPI’s and patient focussed target measures</w:t>
      </w:r>
    </w:p>
    <w:p w14:paraId="6E441268" w14:textId="77777777" w:rsidR="00D81DA9" w:rsidRDefault="00D81DA9" w:rsidP="00D81DA9">
      <w:pPr>
        <w:ind w:left="1080" w:hanging="720"/>
      </w:pPr>
    </w:p>
    <w:p w14:paraId="448302D6" w14:textId="6D48D986" w:rsidR="00D81DA9" w:rsidRDefault="00D81DA9" w:rsidP="00D81DA9">
      <w:pPr>
        <w:pStyle w:val="ListParagraph"/>
        <w:numPr>
          <w:ilvl w:val="0"/>
          <w:numId w:val="5"/>
        </w:numPr>
      </w:pPr>
      <w:r>
        <w:t>Support local teams seeking to implement specialist nursing/AHP roles in emergency laparotomy care through provision of information and mentoring via NELA nurse/AHP network</w:t>
      </w:r>
    </w:p>
    <w:p w14:paraId="7110AAAC" w14:textId="77777777" w:rsidR="00D81DA9" w:rsidRDefault="00D81DA9" w:rsidP="00D81DA9">
      <w:pPr>
        <w:pStyle w:val="ListParagraph"/>
        <w:numPr>
          <w:ilvl w:val="0"/>
          <w:numId w:val="0"/>
        </w:numPr>
        <w:ind w:left="1080"/>
      </w:pPr>
    </w:p>
    <w:p w14:paraId="27708E02" w14:textId="1ECDE550" w:rsidR="00D81DA9" w:rsidRDefault="00D81DA9" w:rsidP="00D81DA9">
      <w:pPr>
        <w:pStyle w:val="ListParagraph"/>
        <w:numPr>
          <w:ilvl w:val="0"/>
          <w:numId w:val="5"/>
        </w:numPr>
      </w:pPr>
      <w:r>
        <w:t>Encourage and support local teams to develop NELA nursing/AHP leads, providing guidance on how these roles can feed into the local NELA project team activities</w:t>
      </w:r>
    </w:p>
    <w:p w14:paraId="2404B094" w14:textId="77777777" w:rsidR="00D81DA9" w:rsidRDefault="00D81DA9" w:rsidP="00D81DA9"/>
    <w:p w14:paraId="62F6ED0A" w14:textId="5BE2FCD0" w:rsidR="00D81DA9" w:rsidRDefault="00D81DA9" w:rsidP="00D81DA9">
      <w:pPr>
        <w:pStyle w:val="ListParagraph"/>
        <w:numPr>
          <w:ilvl w:val="0"/>
          <w:numId w:val="5"/>
        </w:numPr>
      </w:pPr>
      <w:r>
        <w:t>Horizon scan for MDT research and service development projects locally, nationally and internationally pertinent to the care of patients undergoing emergency laparotomy and offer support to/link up colleagues undertaking this type of research</w:t>
      </w:r>
    </w:p>
    <w:p w14:paraId="255748FC" w14:textId="77777777" w:rsidR="00AB1FB5" w:rsidRDefault="00AB1FB5" w:rsidP="00D81DA9"/>
    <w:p w14:paraId="2097A53E" w14:textId="75A2F6E4" w:rsidR="00AB1FB5" w:rsidRDefault="00950B38" w:rsidP="00AB1FB5">
      <w:pPr>
        <w:pStyle w:val="ListParagraph"/>
        <w:numPr>
          <w:ilvl w:val="0"/>
          <w:numId w:val="5"/>
        </w:numPr>
      </w:pPr>
      <w:r>
        <w:t>Attend</w:t>
      </w:r>
      <w:r w:rsidR="00AB1FB5">
        <w:t xml:space="preserve"> NELA Project Team, Clinical Reference Group, and Project Board meetings, and other meetings as required</w:t>
      </w:r>
    </w:p>
    <w:p w14:paraId="3D323069" w14:textId="2DED688C" w:rsidR="00493681" w:rsidRDefault="00493681" w:rsidP="00493681">
      <w:pPr>
        <w:ind w:left="1080" w:hanging="720"/>
      </w:pPr>
    </w:p>
    <w:p w14:paraId="406C9375" w14:textId="21591A7E" w:rsidR="003D4416" w:rsidRDefault="00493681" w:rsidP="003D4416">
      <w:pPr>
        <w:pStyle w:val="ListParagraph"/>
        <w:numPr>
          <w:ilvl w:val="0"/>
          <w:numId w:val="5"/>
        </w:numPr>
      </w:pPr>
      <w:r>
        <w:t>Provid</w:t>
      </w:r>
      <w:r w:rsidR="00F13D37">
        <w:t>e</w:t>
      </w:r>
      <w:r>
        <w:t xml:space="preserve"> timely assistance and advice to the NELA Helpdesk for audit </w:t>
      </w:r>
      <w:r w:rsidR="003D4416">
        <w:t xml:space="preserve">or other </w:t>
      </w:r>
      <w:r>
        <w:t>queries generated by participating units</w:t>
      </w:r>
    </w:p>
    <w:p w14:paraId="7ECCF504" w14:textId="77777777" w:rsidR="00421E18" w:rsidRDefault="00421E18" w:rsidP="00421E18">
      <w:pPr>
        <w:pStyle w:val="ListParagraph"/>
        <w:numPr>
          <w:ilvl w:val="0"/>
          <w:numId w:val="0"/>
        </w:numPr>
        <w:ind w:left="1080"/>
      </w:pPr>
    </w:p>
    <w:p w14:paraId="75F623EB" w14:textId="32F1499B" w:rsidR="00421E18" w:rsidRDefault="00421E18" w:rsidP="003D4416">
      <w:pPr>
        <w:pStyle w:val="ListParagraph"/>
        <w:numPr>
          <w:ilvl w:val="0"/>
          <w:numId w:val="5"/>
        </w:numPr>
      </w:pPr>
      <w:r>
        <w:t>Provide strong leadership at national level</w:t>
      </w:r>
      <w:r w:rsidR="000F7A2A">
        <w:t xml:space="preserve"> and across all phases of the peri-operative patient journey (primary care, emergency care, perioperative care and rehabilitation/outpatient settings)</w:t>
      </w:r>
      <w:r>
        <w:t>, raising awareness of nursing</w:t>
      </w:r>
      <w:r w:rsidR="009C54C5">
        <w:t xml:space="preserve"> and AHP</w:t>
      </w:r>
      <w:r>
        <w:t xml:space="preserve"> considerations</w:t>
      </w:r>
      <w:r w:rsidR="000F7A2A">
        <w:t xml:space="preserve"> in these areas</w:t>
      </w:r>
      <w:r>
        <w:t xml:space="preserve"> </w:t>
      </w:r>
      <w:r w:rsidR="000F7A2A">
        <w:t>specific to</w:t>
      </w:r>
      <w:r>
        <w:t xml:space="preserve"> emergency laparotomy care</w:t>
      </w:r>
    </w:p>
    <w:p w14:paraId="2061C96C" w14:textId="77777777" w:rsidR="003D4416" w:rsidRDefault="003D4416" w:rsidP="000F7A2A"/>
    <w:p w14:paraId="002A9193" w14:textId="77777777" w:rsidR="000F7A2A" w:rsidRDefault="000F7A2A" w:rsidP="000F7A2A">
      <w:pPr>
        <w:ind w:left="1080" w:hanging="720"/>
      </w:pPr>
    </w:p>
    <w:p w14:paraId="363FC310" w14:textId="6147E2B4" w:rsidR="000F7A2A" w:rsidRDefault="000F7A2A" w:rsidP="000F7A2A">
      <w:pPr>
        <w:pStyle w:val="ListParagraph"/>
        <w:numPr>
          <w:ilvl w:val="0"/>
          <w:numId w:val="5"/>
        </w:numPr>
      </w:pPr>
      <w:r>
        <w:lastRenderedPageBreak/>
        <w:t xml:space="preserve">Strengthen existing, or develop new links with, societies and organisations pertinent to the wider </w:t>
      </w:r>
      <w:r w:rsidR="009C54C5">
        <w:t xml:space="preserve">MDT </w:t>
      </w:r>
      <w:r>
        <w:t>across the peri-operative pathway</w:t>
      </w:r>
    </w:p>
    <w:p w14:paraId="472B0E42" w14:textId="77777777" w:rsidR="000F7A2A" w:rsidRDefault="000F7A2A" w:rsidP="000F7A2A">
      <w:pPr>
        <w:pStyle w:val="ListParagraph"/>
        <w:numPr>
          <w:ilvl w:val="0"/>
          <w:numId w:val="0"/>
        </w:numPr>
        <w:ind w:left="720"/>
      </w:pPr>
    </w:p>
    <w:p w14:paraId="59CEE4D3" w14:textId="418218F0" w:rsidR="000F7A2A" w:rsidRDefault="000F7A2A" w:rsidP="000F7A2A">
      <w:pPr>
        <w:pStyle w:val="ListParagraph"/>
        <w:numPr>
          <w:ilvl w:val="0"/>
          <w:numId w:val="5"/>
        </w:numPr>
      </w:pPr>
      <w:r>
        <w:t>Engage with stakeholders to develop/refine multidisciplinary standards of care relevant to emergency laparotomy (e.g Royal College of Nursing, Association of Surgical Care Practitioners, College of Operating Department Practitioners, Chartered Society of Physiotherapists</w:t>
      </w:r>
      <w:r w:rsidR="0052183E">
        <w:t>, British Dietetic Association</w:t>
      </w:r>
      <w:r>
        <w:t xml:space="preserve"> etc)</w:t>
      </w:r>
    </w:p>
    <w:p w14:paraId="712D4D3D" w14:textId="77777777" w:rsidR="000F7A2A" w:rsidRDefault="000F7A2A" w:rsidP="000F7A2A">
      <w:pPr>
        <w:pStyle w:val="ListParagraph"/>
        <w:numPr>
          <w:ilvl w:val="0"/>
          <w:numId w:val="0"/>
        </w:numPr>
        <w:ind w:left="720"/>
      </w:pPr>
    </w:p>
    <w:p w14:paraId="71F90E26" w14:textId="691AFABB" w:rsidR="000F7A2A" w:rsidRDefault="000F7A2A" w:rsidP="000F7A2A">
      <w:pPr>
        <w:pStyle w:val="ListParagraph"/>
        <w:numPr>
          <w:ilvl w:val="0"/>
          <w:numId w:val="5"/>
        </w:numPr>
      </w:pPr>
      <w:r>
        <w:t>Develop and deliver educational content via webinars</w:t>
      </w:r>
      <w:r w:rsidR="00A00020">
        <w:t xml:space="preserve">, </w:t>
      </w:r>
      <w:r>
        <w:t>national conferences</w:t>
      </w:r>
      <w:r w:rsidR="00A00020">
        <w:t xml:space="preserve"> and professional publications</w:t>
      </w:r>
      <w:r>
        <w:t xml:space="preserve"> to engage and raise awareness </w:t>
      </w:r>
      <w:r w:rsidR="00A00020">
        <w:t>of</w:t>
      </w:r>
      <w:r w:rsidR="009C54C5">
        <w:t xml:space="preserve"> wider MDT</w:t>
      </w:r>
      <w:r w:rsidR="00A00020">
        <w:t xml:space="preserve"> emergency laparotomy care </w:t>
      </w:r>
      <w:r w:rsidR="009C54C5">
        <w:t xml:space="preserve">roles </w:t>
      </w:r>
    </w:p>
    <w:p w14:paraId="78E3B0A2" w14:textId="77777777" w:rsidR="00D81DA9" w:rsidRDefault="00D81DA9" w:rsidP="00F13D37">
      <w:pPr>
        <w:ind w:left="1080" w:hanging="720"/>
      </w:pPr>
    </w:p>
    <w:p w14:paraId="0D618AA5" w14:textId="2D0F69B8" w:rsidR="003D4416" w:rsidRDefault="00D81DA9" w:rsidP="00D81DA9">
      <w:pPr>
        <w:pStyle w:val="ListParagraph"/>
        <w:numPr>
          <w:ilvl w:val="0"/>
          <w:numId w:val="5"/>
        </w:numPr>
      </w:pPr>
      <w:r>
        <w:t>Supervise NELA fellows as appropriate, providing advice and guidance to their projects</w:t>
      </w:r>
    </w:p>
    <w:p w14:paraId="74AB101D" w14:textId="2398CE4E" w:rsidR="00AB1FB5" w:rsidRDefault="00AB1FB5" w:rsidP="003D4416"/>
    <w:p w14:paraId="61962B82" w14:textId="11437A38" w:rsidR="00AB1FB5" w:rsidRDefault="00AB1FB5" w:rsidP="00AB1FB5">
      <w:pPr>
        <w:pStyle w:val="ListParagraph"/>
        <w:numPr>
          <w:ilvl w:val="0"/>
          <w:numId w:val="5"/>
        </w:numPr>
      </w:pPr>
      <w:r>
        <w:t>Any other duties which do not change the nature of the post, as may be determined by the NELA Project Team in response to contractual developments and needs.</w:t>
      </w:r>
    </w:p>
    <w:p w14:paraId="5CEC2E29" w14:textId="77777777" w:rsidR="003E4018" w:rsidRDefault="003E4018" w:rsidP="003E4018">
      <w:pPr>
        <w:pStyle w:val="ListParagraph"/>
        <w:numPr>
          <w:ilvl w:val="0"/>
          <w:numId w:val="0"/>
        </w:numPr>
        <w:ind w:left="1080"/>
      </w:pPr>
    </w:p>
    <w:p w14:paraId="71457918" w14:textId="5E3C0D52" w:rsidR="00950B38" w:rsidRDefault="00950B38" w:rsidP="00950B38"/>
    <w:p w14:paraId="5910078C" w14:textId="77777777" w:rsidR="00321138" w:rsidRPr="00F30F51" w:rsidRDefault="00321138" w:rsidP="00321138">
      <w:pPr>
        <w:autoSpaceDE w:val="0"/>
        <w:autoSpaceDN w:val="0"/>
        <w:rPr>
          <w:rFonts w:ascii="Century Gothic" w:hAnsi="Century Gothic"/>
          <w:b/>
          <w:bCs/>
          <w:sz w:val="10"/>
          <w:szCs w:val="10"/>
          <w:lang w:eastAsia="en-GB"/>
        </w:rPr>
      </w:pPr>
    </w:p>
    <w:p w14:paraId="56FE6039" w14:textId="77777777" w:rsidR="00321138" w:rsidRPr="00332ADD" w:rsidRDefault="00321138" w:rsidP="00321138">
      <w:pPr>
        <w:autoSpaceDE w:val="0"/>
        <w:autoSpaceDN w:val="0"/>
        <w:rPr>
          <w:rFonts w:ascii="Century Gothic" w:hAnsi="Century Gothic"/>
          <w:b/>
          <w:bCs/>
          <w:sz w:val="22"/>
          <w:szCs w:val="22"/>
          <w:lang w:eastAsia="en-GB"/>
        </w:rPr>
      </w:pPr>
      <w:r w:rsidRPr="00332ADD">
        <w:rPr>
          <w:rFonts w:ascii="Century Gothic" w:hAnsi="Century Gothic"/>
          <w:b/>
          <w:bCs/>
          <w:sz w:val="22"/>
          <w:szCs w:val="22"/>
          <w:lang w:eastAsia="en-GB"/>
        </w:rPr>
        <w:t>Remuneration</w:t>
      </w:r>
    </w:p>
    <w:p w14:paraId="29310396" w14:textId="632701F9" w:rsidR="00D81DA9" w:rsidRPr="00332ADD" w:rsidRDefault="00D81DA9" w:rsidP="00D81DA9">
      <w:pPr>
        <w:autoSpaceDE w:val="0"/>
        <w:autoSpaceDN w:val="0"/>
        <w:rPr>
          <w:rFonts w:ascii="Century Gothic" w:hAnsi="Century Gothic"/>
          <w:sz w:val="22"/>
          <w:szCs w:val="22"/>
          <w:lang w:eastAsia="en-GB"/>
        </w:rPr>
      </w:pPr>
      <w:r w:rsidRPr="00332ADD">
        <w:rPr>
          <w:rFonts w:ascii="Century Gothic" w:hAnsi="Century Gothic"/>
          <w:sz w:val="22"/>
          <w:szCs w:val="22"/>
          <w:lang w:eastAsia="en-GB"/>
        </w:rPr>
        <w:t>There is no direct payment for the role. The post is supported by the cost of 1 period of professional activity (1 PA) per week, back-filled to the post-holder’s employing trust</w:t>
      </w:r>
      <w:r w:rsidR="001E2D8F">
        <w:rPr>
          <w:rFonts w:ascii="Century Gothic" w:hAnsi="Century Gothic"/>
          <w:sz w:val="22"/>
          <w:szCs w:val="22"/>
          <w:lang w:eastAsia="en-GB"/>
        </w:rPr>
        <w:t>/health board</w:t>
      </w:r>
      <w:r w:rsidRPr="00332ADD">
        <w:rPr>
          <w:rFonts w:ascii="Century Gothic" w:hAnsi="Century Gothic"/>
          <w:sz w:val="22"/>
          <w:szCs w:val="22"/>
          <w:lang w:eastAsia="en-GB"/>
        </w:rPr>
        <w:t>, in order to enable the post-holder to dedicate a minimum of 4 hours per week to the work.  It is anticipated that the workload of the project will fluctuate and the post-holder will need to be able to be flexible enough to dedicate considerably greater amounts of time to the project when this is required.</w:t>
      </w:r>
    </w:p>
    <w:p w14:paraId="59AEBCA6" w14:textId="77777777" w:rsidR="00F30F51" w:rsidRPr="00F30F51" w:rsidRDefault="00F30F51" w:rsidP="00321138">
      <w:pPr>
        <w:pStyle w:val="Bulletedtext"/>
        <w:numPr>
          <w:ilvl w:val="0"/>
          <w:numId w:val="0"/>
        </w:numPr>
        <w:rPr>
          <w:rFonts w:ascii="Century Gothic" w:hAnsi="Century Gothic"/>
          <w:b/>
          <w:color w:val="000000"/>
          <w:sz w:val="10"/>
          <w:szCs w:val="10"/>
          <w:lang w:val="en-GB" w:eastAsia="en-GB"/>
        </w:rPr>
      </w:pPr>
    </w:p>
    <w:p w14:paraId="1F882385" w14:textId="34F855B3" w:rsidR="00321138" w:rsidRPr="00332ADD" w:rsidRDefault="00321138" w:rsidP="00321138">
      <w:pPr>
        <w:pStyle w:val="Bulletedtext"/>
        <w:numPr>
          <w:ilvl w:val="0"/>
          <w:numId w:val="0"/>
        </w:numPr>
        <w:rPr>
          <w:rFonts w:ascii="Century Gothic" w:hAnsi="Century Gothic"/>
          <w:b/>
          <w:color w:val="000000"/>
          <w:sz w:val="22"/>
          <w:szCs w:val="22"/>
          <w:lang w:val="en-GB" w:eastAsia="en-GB"/>
        </w:rPr>
      </w:pPr>
      <w:r w:rsidRPr="00332ADD">
        <w:rPr>
          <w:rFonts w:ascii="Century Gothic" w:hAnsi="Century Gothic"/>
          <w:b/>
          <w:color w:val="000000"/>
          <w:sz w:val="22"/>
          <w:szCs w:val="22"/>
          <w:lang w:val="en-GB" w:eastAsia="en-GB"/>
        </w:rPr>
        <w:t>Period of commencement and operation</w:t>
      </w:r>
    </w:p>
    <w:p w14:paraId="0A4CC636" w14:textId="04B5D787" w:rsidR="00D81DA9" w:rsidRPr="00332ADD" w:rsidRDefault="00D81DA9" w:rsidP="00D81DA9">
      <w:pPr>
        <w:pStyle w:val="Bulletedtext"/>
        <w:numPr>
          <w:ilvl w:val="0"/>
          <w:numId w:val="0"/>
        </w:numPr>
        <w:rPr>
          <w:rFonts w:ascii="Century Gothic" w:hAnsi="Century Gothic"/>
          <w:sz w:val="22"/>
          <w:szCs w:val="22"/>
          <w:lang w:val="en-GB"/>
        </w:rPr>
      </w:pPr>
      <w:r w:rsidRPr="00332ADD">
        <w:rPr>
          <w:rFonts w:ascii="Century Gothic" w:hAnsi="Century Gothic"/>
          <w:color w:val="000000"/>
          <w:sz w:val="22"/>
          <w:szCs w:val="22"/>
          <w:lang w:val="en-GB" w:eastAsia="en-GB"/>
        </w:rPr>
        <w:t xml:space="preserve">The post-holder will commence their duties no later than </w:t>
      </w:r>
      <w:r>
        <w:rPr>
          <w:rFonts w:ascii="Century Gothic" w:hAnsi="Century Gothic"/>
          <w:color w:val="000000"/>
          <w:sz w:val="22"/>
          <w:szCs w:val="22"/>
          <w:lang w:val="en-GB" w:eastAsia="en-GB"/>
        </w:rPr>
        <w:t>1</w:t>
      </w:r>
      <w:r w:rsidRPr="00F13D37">
        <w:rPr>
          <w:rFonts w:ascii="Century Gothic" w:hAnsi="Century Gothic"/>
          <w:color w:val="000000"/>
          <w:sz w:val="22"/>
          <w:szCs w:val="22"/>
          <w:vertAlign w:val="superscript"/>
          <w:lang w:val="en-GB" w:eastAsia="en-GB"/>
        </w:rPr>
        <w:t>st</w:t>
      </w:r>
      <w:r>
        <w:rPr>
          <w:rFonts w:ascii="Century Gothic" w:hAnsi="Century Gothic"/>
          <w:color w:val="000000"/>
          <w:sz w:val="22"/>
          <w:szCs w:val="22"/>
          <w:lang w:val="en-GB" w:eastAsia="en-GB"/>
        </w:rPr>
        <w:t xml:space="preserve"> March 2025 for an initial period of service until 30 November 2025</w:t>
      </w:r>
      <w:r w:rsidRPr="00727EE8">
        <w:rPr>
          <w:rFonts w:ascii="Century Gothic" w:hAnsi="Century Gothic"/>
          <w:color w:val="000000"/>
          <w:sz w:val="22"/>
          <w:szCs w:val="22"/>
          <w:lang w:val="en-GB" w:eastAsia="en-GB"/>
        </w:rPr>
        <w:t>.</w:t>
      </w:r>
      <w:r>
        <w:rPr>
          <w:rFonts w:ascii="Century Gothic" w:hAnsi="Century Gothic"/>
          <w:color w:val="000000"/>
          <w:sz w:val="22"/>
          <w:szCs w:val="22"/>
          <w:lang w:val="en-GB" w:eastAsia="en-GB"/>
        </w:rPr>
        <w:t xml:space="preserve"> Possibility to extend based on contract extension.</w:t>
      </w:r>
    </w:p>
    <w:tbl>
      <w:tblPr>
        <w:tblpPr w:leftFromText="180" w:rightFromText="180" w:vertAnchor="page" w:horzAnchor="margin" w:tblpX="-528" w:tblpY="2416"/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30F51" w:rsidRPr="00246FC8" w14:paraId="11FC11CF" w14:textId="77777777" w:rsidTr="0047156D">
        <w:trPr>
          <w:trHeight w:val="380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2E97D611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EDUCATIONAL REQUIREMENTS</w:t>
            </w:r>
          </w:p>
        </w:tc>
      </w:tr>
      <w:tr w:rsidR="00F30F51" w:rsidRPr="00246FC8" w14:paraId="61894495" w14:textId="77777777" w:rsidTr="0047156D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E43FE8E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F30F51" w:rsidRPr="00246FC8" w14:paraId="597EE34C" w14:textId="77777777" w:rsidTr="0047156D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18EE67" w14:textId="09CE1E9D" w:rsidR="00F30F51" w:rsidRPr="00246FC8" w:rsidRDefault="003D4416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4"/>
              </w:rPr>
              <w:t>Registered nurse</w:t>
            </w:r>
            <w:r w:rsidR="009C54C5">
              <w:rPr>
                <w:rFonts w:ascii="Century Gothic" w:hAnsi="Century Gothic"/>
                <w:sz w:val="22"/>
                <w:szCs w:val="24"/>
              </w:rPr>
              <w:t xml:space="preserve"> or allied health professional</w:t>
            </w:r>
            <w:r>
              <w:rPr>
                <w:rFonts w:ascii="Century Gothic" w:hAnsi="Century Gothic"/>
                <w:sz w:val="22"/>
                <w:szCs w:val="24"/>
              </w:rPr>
              <w:t xml:space="preserve"> working at senior clinical level with demonstrable experience and understanding of caring for emergency laparotomy patients</w:t>
            </w:r>
          </w:p>
        </w:tc>
      </w:tr>
      <w:tr w:rsidR="00F30F51" w:rsidRPr="00246FC8" w14:paraId="5C17671A" w14:textId="77777777" w:rsidTr="0047156D">
        <w:trPr>
          <w:trHeight w:val="327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73E2BA71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EXPERIENCE</w:t>
            </w:r>
          </w:p>
        </w:tc>
      </w:tr>
      <w:tr w:rsidR="00F30F51" w:rsidRPr="00246FC8" w14:paraId="5D3C69CF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DB3993" w14:textId="77777777" w:rsidR="00F30F51" w:rsidRPr="00986F8C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F30F51" w:rsidRPr="00246FC8" w14:paraId="22790064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1B406E2" w14:textId="600D7756" w:rsidR="00F30F51" w:rsidRPr="00986F8C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Evidence and experience of successfully leading a team at local level</w:t>
            </w:r>
          </w:p>
        </w:tc>
      </w:tr>
      <w:tr w:rsidR="00F30F51" w:rsidRPr="00246FC8" w14:paraId="7B6B077F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10D293" w14:textId="77777777" w:rsidR="00F30F51" w:rsidRPr="00986F8C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Able to demonstrate engagement in NELA at local level</w:t>
            </w:r>
          </w:p>
        </w:tc>
      </w:tr>
      <w:tr w:rsidR="00F30F51" w:rsidRPr="00246FC8" w14:paraId="5BF4F8C8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0B98E2" w14:textId="77777777" w:rsidR="00F30F51" w:rsidRPr="00986F8C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Clinical practice involving care of patients undergoing emergency laparotomy</w:t>
            </w:r>
          </w:p>
        </w:tc>
      </w:tr>
      <w:tr w:rsidR="00F30F51" w:rsidRPr="00246FC8" w14:paraId="5C996F24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23A2B3D" w14:textId="77777777" w:rsidR="00F30F51" w:rsidRPr="00F23A26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Experience of authoring, editing and producing documents</w:t>
            </w:r>
            <w:r>
              <w:rPr>
                <w:rFonts w:ascii="Century Gothic" w:hAnsi="Century Gothic"/>
                <w:sz w:val="22"/>
                <w:szCs w:val="22"/>
              </w:rPr>
              <w:t>/other publications</w:t>
            </w:r>
          </w:p>
        </w:tc>
      </w:tr>
      <w:tr w:rsidR="00F30F51" w:rsidRPr="00246FC8" w14:paraId="7604ACC9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49A9D3" w14:textId="77777777" w:rsidR="00F30F51" w:rsidRPr="00F23A26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Ability to engage clinicians in consultative work</w:t>
            </w:r>
          </w:p>
        </w:tc>
      </w:tr>
      <w:tr w:rsidR="00F30F51" w:rsidRPr="00246FC8" w14:paraId="4F659DDF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659082" w14:textId="77777777" w:rsidR="00F30F51" w:rsidRPr="00F23A26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 xml:space="preserve">Experience of speaking at local and regional meetings </w:t>
            </w:r>
          </w:p>
        </w:tc>
      </w:tr>
      <w:tr w:rsidR="00F30F51" w:rsidRPr="00246FC8" w14:paraId="1E092528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83A977" w14:textId="77777777" w:rsidR="00F30F51" w:rsidRPr="00F23A26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3210D1" w:rsidRPr="00246FC8" w14:paraId="705BAD48" w14:textId="77777777" w:rsidTr="0047156D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257DE6" w14:textId="7F47293F" w:rsidR="003210D1" w:rsidRPr="00246FC8" w:rsidRDefault="003210D1" w:rsidP="0047156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Demonstrable experience with data and research governance</w:t>
            </w:r>
          </w:p>
        </w:tc>
      </w:tr>
      <w:tr w:rsidR="00F30F51" w:rsidRPr="00246FC8" w14:paraId="28EAE814" w14:textId="77777777" w:rsidTr="0047156D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E32AB9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Demonstrate successful experience of leading a large team at regional or national level</w:t>
            </w:r>
          </w:p>
        </w:tc>
      </w:tr>
      <w:tr w:rsidR="00F30F51" w:rsidRPr="00246FC8" w14:paraId="6F50BF86" w14:textId="77777777" w:rsidTr="0047156D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6D61E2E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Able to demonstrate engagement in NELA at regional or national level</w:t>
            </w:r>
          </w:p>
        </w:tc>
      </w:tr>
      <w:tr w:rsidR="00F30F51" w:rsidRPr="00246FC8" w14:paraId="323B116F" w14:textId="77777777" w:rsidTr="0047156D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DC2317" w14:textId="77777777" w:rsidR="00F30F51" w:rsidRPr="00986F8C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speaking at National meetings</w:t>
            </w:r>
          </w:p>
        </w:tc>
      </w:tr>
      <w:tr w:rsidR="00F30F51" w:rsidRPr="00246FC8" w14:paraId="0C16905C" w14:textId="77777777" w:rsidTr="0047156D">
        <w:trPr>
          <w:trHeight w:val="38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1F188E44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SKILLS AND KNOWLEDGE</w:t>
            </w:r>
          </w:p>
        </w:tc>
      </w:tr>
      <w:tr w:rsidR="00F30F51" w:rsidRPr="00246FC8" w14:paraId="7B6AE0A0" w14:textId="77777777" w:rsidTr="0047156D">
        <w:trPr>
          <w:trHeight w:val="245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58ACE21A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F30F51" w:rsidRPr="00246FC8" w14:paraId="608F9579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384A84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Ability to communicate effectively to a range of audiences via different means</w:t>
            </w:r>
          </w:p>
        </w:tc>
      </w:tr>
      <w:tr w:rsidR="00F30F51" w:rsidRPr="00246FC8" w14:paraId="0F2E8476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6635E5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Able to demonstrate an understanding of how NELA fits with national priorities</w:t>
            </w:r>
          </w:p>
        </w:tc>
      </w:tr>
      <w:tr w:rsidR="00F30F51" w:rsidRPr="00246FC8" w14:paraId="36AEFF62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69C567F" w14:textId="77777777" w:rsidR="00F30F51" w:rsidRPr="00F23A26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F30F51" w:rsidRPr="00246FC8" w14:paraId="6BD04BB9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8823BF" w14:textId="3184AF44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Able to supervise Fellows/</w:t>
            </w:r>
            <w:r w:rsidR="009C54C5">
              <w:rPr>
                <w:rFonts w:ascii="Century Gothic" w:hAnsi="Century Gothic"/>
                <w:sz w:val="22"/>
                <w:szCs w:val="22"/>
              </w:rPr>
              <w:t>colleagues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undertaking higher degrees</w:t>
            </w:r>
          </w:p>
        </w:tc>
      </w:tr>
      <w:tr w:rsidR="00F30F51" w:rsidRPr="00246FC8" w14:paraId="6422CA1A" w14:textId="77777777" w:rsidTr="0047156D">
        <w:trPr>
          <w:trHeight w:val="19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30F5E36E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PERSONAL ATTRIBUTES</w:t>
            </w:r>
          </w:p>
        </w:tc>
      </w:tr>
      <w:tr w:rsidR="00F30F51" w:rsidRPr="00246FC8" w14:paraId="7266CEC4" w14:textId="77777777" w:rsidTr="0047156D">
        <w:trPr>
          <w:trHeight w:val="15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25B02ACD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F30F51" w:rsidRPr="00246FC8" w14:paraId="2AA5B3C7" w14:textId="77777777" w:rsidTr="0047156D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171C4D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Approachable, friendly manner</w:t>
            </w:r>
          </w:p>
        </w:tc>
      </w:tr>
      <w:tr w:rsidR="00F30F51" w:rsidRPr="00246FC8" w14:paraId="2D387294" w14:textId="77777777" w:rsidTr="0047156D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EEB23C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Hardworking, punctual, conscientious and thorough</w:t>
            </w:r>
          </w:p>
        </w:tc>
      </w:tr>
      <w:tr w:rsidR="00F30F51" w:rsidRPr="00246FC8" w14:paraId="613B88D4" w14:textId="77777777" w:rsidTr="0047156D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9055E1" w14:textId="6D5907DD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Have a natural aspiration to </w:t>
            </w:r>
            <w:r w:rsidR="00BF25B6">
              <w:rPr>
                <w:rFonts w:ascii="Century Gothic" w:hAnsi="Century Gothic"/>
                <w:color w:val="000000"/>
                <w:sz w:val="22"/>
                <w:szCs w:val="22"/>
              </w:rPr>
              <w:t>further the development of NELA</w:t>
            </w:r>
          </w:p>
        </w:tc>
      </w:tr>
      <w:tr w:rsidR="00F30F51" w:rsidRPr="00246FC8" w14:paraId="6135A09A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3FD2307" w14:textId="77777777" w:rsidR="00F30F51" w:rsidRPr="00246FC8" w:rsidRDefault="00F30F51" w:rsidP="0047156D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>Ability to work flexibly (with approval of local support) and independently under pressure and within deadlines</w:t>
            </w:r>
          </w:p>
        </w:tc>
      </w:tr>
      <w:tr w:rsidR="00F30F51" w:rsidRPr="00246FC8" w14:paraId="1A10421F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5F24B6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Good interpersonal skills in dealing with clinicians, other healthcare workers, managers, College staff and patient representatives</w:t>
            </w:r>
          </w:p>
        </w:tc>
      </w:tr>
      <w:tr w:rsidR="00F30F51" w:rsidRPr="00246FC8" w14:paraId="39B06693" w14:textId="77777777" w:rsidTr="0047156D">
        <w:trPr>
          <w:trHeight w:val="252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C5573B" w14:textId="0F4AA7C4" w:rsidR="00F30F51" w:rsidRPr="00246FC8" w:rsidRDefault="00F30F51" w:rsidP="00A94AB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Comfortable dealing with complex issues and direction setting</w:t>
            </w:r>
          </w:p>
        </w:tc>
      </w:tr>
      <w:tr w:rsidR="00F30F51" w:rsidRPr="00246FC8" w14:paraId="425B0D33" w14:textId="77777777" w:rsidTr="0047156D">
        <w:trPr>
          <w:trHeight w:val="25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5BDDDC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Good IT skills</w:t>
            </w:r>
          </w:p>
        </w:tc>
      </w:tr>
      <w:tr w:rsidR="00F30F51" w:rsidRPr="00246FC8" w14:paraId="00D2A8C6" w14:textId="77777777" w:rsidTr="0047156D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3A1633EC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ORGANISATIONAL COMMITMENT</w:t>
            </w:r>
          </w:p>
        </w:tc>
      </w:tr>
      <w:tr w:rsidR="00F30F51" w:rsidRPr="00246FC8" w14:paraId="46A1571C" w14:textId="77777777" w:rsidTr="0047156D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A164B6" w14:textId="4560DF16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Must have support of employing Trust</w:t>
            </w:r>
            <w:r w:rsidR="000621A8">
              <w:rPr>
                <w:rFonts w:ascii="Century Gothic" w:hAnsi="Century Gothic"/>
                <w:sz w:val="22"/>
                <w:szCs w:val="22"/>
              </w:rPr>
              <w:t>/Health Board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or University</w:t>
            </w:r>
          </w:p>
        </w:tc>
      </w:tr>
    </w:tbl>
    <w:p w14:paraId="3697ACF8" w14:textId="77777777" w:rsidR="00321138" w:rsidRPr="00332ADD" w:rsidRDefault="00321138" w:rsidP="00321138">
      <w:pPr>
        <w:pStyle w:val="Bulletedtext"/>
        <w:numPr>
          <w:ilvl w:val="0"/>
          <w:numId w:val="0"/>
        </w:numPr>
        <w:rPr>
          <w:rFonts w:ascii="Century Gothic" w:hAnsi="Century Gothic" w:cs="Arial"/>
          <w:spacing w:val="-3"/>
          <w:sz w:val="22"/>
          <w:szCs w:val="22"/>
        </w:rPr>
      </w:pPr>
    </w:p>
    <w:p w14:paraId="73D37584" w14:textId="77777777" w:rsidR="00321138" w:rsidRDefault="00321138"/>
    <w:sectPr w:rsidR="00321138" w:rsidSect="00332ADD">
      <w:headerReference w:type="default" r:id="rId8"/>
      <w:pgSz w:w="11906" w:h="16838"/>
      <w:pgMar w:top="1069" w:right="849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5FBD" w14:textId="77777777" w:rsidR="007A4047" w:rsidRDefault="007A4047" w:rsidP="00321138">
      <w:r>
        <w:separator/>
      </w:r>
    </w:p>
  </w:endnote>
  <w:endnote w:type="continuationSeparator" w:id="0">
    <w:p w14:paraId="25AFF17E" w14:textId="77777777" w:rsidR="007A4047" w:rsidRDefault="007A4047" w:rsidP="00321138">
      <w:r>
        <w:continuationSeparator/>
      </w:r>
    </w:p>
  </w:endnote>
  <w:endnote w:type="continuationNotice" w:id="1">
    <w:p w14:paraId="69743827" w14:textId="77777777" w:rsidR="007A4047" w:rsidRDefault="007A4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B550" w14:textId="77777777" w:rsidR="007A4047" w:rsidRDefault="007A4047" w:rsidP="00321138">
      <w:r>
        <w:separator/>
      </w:r>
    </w:p>
  </w:footnote>
  <w:footnote w:type="continuationSeparator" w:id="0">
    <w:p w14:paraId="0C613C0D" w14:textId="77777777" w:rsidR="007A4047" w:rsidRDefault="007A4047" w:rsidP="00321138">
      <w:r>
        <w:continuationSeparator/>
      </w:r>
    </w:p>
  </w:footnote>
  <w:footnote w:type="continuationNotice" w:id="1">
    <w:p w14:paraId="6F545FE2" w14:textId="77777777" w:rsidR="007A4047" w:rsidRDefault="007A4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E264" w14:textId="77777777" w:rsidR="008F18CF" w:rsidRDefault="008F18CF" w:rsidP="00321138">
    <w:pPr>
      <w:rPr>
        <w:rFonts w:ascii="Century Gothic" w:eastAsia="Batang" w:hAnsi="Century Gothic"/>
        <w:b/>
        <w:color w:val="808080"/>
        <w:sz w:val="28"/>
        <w:szCs w:val="28"/>
      </w:rPr>
    </w:pPr>
    <w:r w:rsidRPr="00321138"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C1EFE" wp14:editId="0F9DE7A5">
              <wp:simplePos x="0" y="0"/>
              <wp:positionH relativeFrom="column">
                <wp:posOffset>2066925</wp:posOffset>
              </wp:positionH>
              <wp:positionV relativeFrom="paragraph">
                <wp:posOffset>-87630</wp:posOffset>
              </wp:positionV>
              <wp:extent cx="4076700" cy="9525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A53D5" w14:textId="77777777" w:rsidR="008F18CF" w:rsidRPr="009C642E" w:rsidRDefault="008F18CF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JOB DESCRIPTION</w:t>
                          </w:r>
                          <w:r w:rsidR="009C642E"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 AND PERSON SPECIFICATION</w:t>
                          </w:r>
                        </w:p>
                        <w:p w14:paraId="4A4F0B3D" w14:textId="77777777" w:rsidR="009C642E" w:rsidRDefault="009C642E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  <w:p w14:paraId="556EFC79" w14:textId="1C31C980" w:rsidR="008F18CF" w:rsidRPr="009C642E" w:rsidRDefault="008F18CF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NATIONAL EMERGENCY LAPAROTOMY AUDIT </w:t>
                          </w:r>
                          <w:r w:rsidR="000F7A2A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NURS</w:t>
                          </w:r>
                          <w:r w:rsidR="009C54C5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E/ALLIED HEALTH PROFESSIONAL (AHP)</w:t>
                          </w:r>
                          <w:r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 LEAD</w:t>
                          </w:r>
                        </w:p>
                        <w:p w14:paraId="1DD89B94" w14:textId="77777777" w:rsidR="008F18CF" w:rsidRDefault="008F18C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C1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75pt;margin-top:-6.9pt;width:32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jdCAIAAPYDAAAOAAAAZHJzL2Uyb0RvYy54bWysU9tu2zAMfR+wfxD0vtgJkqY14hRdugwD&#10;ugvQ7QNkWY6FyaJGKbG7rx8lu2m2vQ3zg0Ca1CF5eLS5HTrDTgq9Blvy+SznTFkJtbaHkn/7un9z&#10;zZ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" stroked="f">
              <v:textbox>
                <w:txbxContent>
                  <w:p w14:paraId="5E5A53D5" w14:textId="77777777" w:rsidR="008F18CF" w:rsidRPr="009C642E" w:rsidRDefault="008F18CF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JOB DESCRIPTION</w:t>
                    </w:r>
                    <w:r w:rsidR="009C642E"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 AND PERSON SPECIFICATION</w:t>
                    </w:r>
                  </w:p>
                  <w:p w14:paraId="4A4F0B3D" w14:textId="77777777" w:rsidR="009C642E" w:rsidRDefault="009C642E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</w:p>
                  <w:p w14:paraId="556EFC79" w14:textId="1C31C980" w:rsidR="008F18CF" w:rsidRPr="009C642E" w:rsidRDefault="008F18CF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NATIONAL EMERGENCY LAPAROTOMY AUDIT </w:t>
                    </w:r>
                    <w:r w:rsidR="000F7A2A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NURS</w:t>
                    </w:r>
                    <w:r w:rsidR="009C54C5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E/ALLIED HEALTH PROFESSIONAL (AHP)</w:t>
                    </w:r>
                    <w:r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 LEAD</w:t>
                    </w:r>
                  </w:p>
                  <w:p w14:paraId="1DD89B94" w14:textId="77777777" w:rsidR="008F18CF" w:rsidRDefault="008F18CF"/>
                </w:txbxContent>
              </v:textbox>
            </v:shape>
          </w:pict>
        </mc:Fallback>
      </mc:AlternateContent>
    </w:r>
    <w:r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w:drawing>
        <wp:inline distT="0" distB="0" distL="0" distR="0" wp14:anchorId="37CC5199" wp14:editId="34633E50">
          <wp:extent cx="1876425" cy="866775"/>
          <wp:effectExtent l="0" t="0" r="9525" b="9525"/>
          <wp:docPr id="1" name="Picture 1" descr="C:\Users\jlourtie\AppData\Local\Microsoft\Windows\Temporary Internet Files\Content.IE5\SZ0YR00R\RCoA Logo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ourtie\AppData\Local\Microsoft\Windows\Temporary Internet Files\Content.IE5\SZ0YR00R\RCoA Logo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F0227" w14:textId="77777777" w:rsidR="008F18CF" w:rsidRDefault="008F1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ADE"/>
    <w:multiLevelType w:val="multilevel"/>
    <w:tmpl w:val="43CC773C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ListParagraph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E935B4E"/>
    <w:multiLevelType w:val="hybridMultilevel"/>
    <w:tmpl w:val="23166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0EC"/>
    <w:multiLevelType w:val="hybridMultilevel"/>
    <w:tmpl w:val="A54262BC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71759"/>
    <w:multiLevelType w:val="hybridMultilevel"/>
    <w:tmpl w:val="0E52A788"/>
    <w:lvl w:ilvl="0" w:tplc="E65A91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5329"/>
    <w:multiLevelType w:val="hybridMultilevel"/>
    <w:tmpl w:val="DE0604F4"/>
    <w:lvl w:ilvl="0" w:tplc="8244F5F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602">
    <w:abstractNumId w:val="2"/>
  </w:num>
  <w:num w:numId="2" w16cid:durableId="2043892693">
    <w:abstractNumId w:val="2"/>
  </w:num>
  <w:num w:numId="3" w16cid:durableId="1846630479">
    <w:abstractNumId w:val="4"/>
  </w:num>
  <w:num w:numId="4" w16cid:durableId="560749115">
    <w:abstractNumId w:val="0"/>
  </w:num>
  <w:num w:numId="5" w16cid:durableId="90782310">
    <w:abstractNumId w:val="3"/>
  </w:num>
  <w:num w:numId="6" w16cid:durableId="1857502400">
    <w:abstractNumId w:val="1"/>
  </w:num>
  <w:num w:numId="7" w16cid:durableId="155885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38"/>
    <w:rsid w:val="000552D7"/>
    <w:rsid w:val="000621A8"/>
    <w:rsid w:val="000F0068"/>
    <w:rsid w:val="000F7A2A"/>
    <w:rsid w:val="00146B41"/>
    <w:rsid w:val="00191DF7"/>
    <w:rsid w:val="001D1F7E"/>
    <w:rsid w:val="001E2D8F"/>
    <w:rsid w:val="001E51A3"/>
    <w:rsid w:val="00274BE5"/>
    <w:rsid w:val="003210D1"/>
    <w:rsid w:val="00321138"/>
    <w:rsid w:val="00332ADD"/>
    <w:rsid w:val="003602D0"/>
    <w:rsid w:val="0039557E"/>
    <w:rsid w:val="003C561C"/>
    <w:rsid w:val="003D4416"/>
    <w:rsid w:val="003E4018"/>
    <w:rsid w:val="003E5807"/>
    <w:rsid w:val="00421E18"/>
    <w:rsid w:val="00435A06"/>
    <w:rsid w:val="00493681"/>
    <w:rsid w:val="0052183E"/>
    <w:rsid w:val="0059237D"/>
    <w:rsid w:val="005F2DFC"/>
    <w:rsid w:val="006D604F"/>
    <w:rsid w:val="006D62F6"/>
    <w:rsid w:val="00727EE8"/>
    <w:rsid w:val="00730206"/>
    <w:rsid w:val="007A4047"/>
    <w:rsid w:val="007A4A6B"/>
    <w:rsid w:val="00847FEF"/>
    <w:rsid w:val="008D5FFE"/>
    <w:rsid w:val="008F18CF"/>
    <w:rsid w:val="00930679"/>
    <w:rsid w:val="00942671"/>
    <w:rsid w:val="0094284B"/>
    <w:rsid w:val="00950B38"/>
    <w:rsid w:val="00962EC6"/>
    <w:rsid w:val="00986F8C"/>
    <w:rsid w:val="009C54C5"/>
    <w:rsid w:val="009C642E"/>
    <w:rsid w:val="009E4C15"/>
    <w:rsid w:val="009F627E"/>
    <w:rsid w:val="00A00020"/>
    <w:rsid w:val="00A94ABD"/>
    <w:rsid w:val="00A96788"/>
    <w:rsid w:val="00AB1FB5"/>
    <w:rsid w:val="00AF5B8F"/>
    <w:rsid w:val="00B75E88"/>
    <w:rsid w:val="00BE18DA"/>
    <w:rsid w:val="00BF25B6"/>
    <w:rsid w:val="00BF52F7"/>
    <w:rsid w:val="00C97A21"/>
    <w:rsid w:val="00D16840"/>
    <w:rsid w:val="00D81DA9"/>
    <w:rsid w:val="00DA72EC"/>
    <w:rsid w:val="00DC7B3B"/>
    <w:rsid w:val="00E32E7E"/>
    <w:rsid w:val="00E75A11"/>
    <w:rsid w:val="00F13D37"/>
    <w:rsid w:val="00F15042"/>
    <w:rsid w:val="00F23A26"/>
    <w:rsid w:val="00F26F57"/>
    <w:rsid w:val="00F30F51"/>
    <w:rsid w:val="00F47D91"/>
    <w:rsid w:val="00F65D80"/>
    <w:rsid w:val="00FA2AD5"/>
    <w:rsid w:val="00FD247A"/>
    <w:rsid w:val="00FE62ED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0EB313E5"/>
  <w15:docId w15:val="{46791D3F-744B-42E6-8156-9CCF9D75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B1FB5"/>
    <w:pPr>
      <w:keepNext/>
      <w:numPr>
        <w:numId w:val="4"/>
      </w:numPr>
      <w:ind w:left="709" w:hanging="709"/>
      <w:outlineLvl w:val="1"/>
    </w:pPr>
    <w:rPr>
      <w:rFonts w:ascii="Century Gothic" w:hAnsi="Century Gothic" w:cs="Arial"/>
      <w:b/>
      <w:bCs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138"/>
  </w:style>
  <w:style w:type="paragraph" w:styleId="Footer">
    <w:name w:val="footer"/>
    <w:basedOn w:val="Normal"/>
    <w:link w:val="Foot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38"/>
  </w:style>
  <w:style w:type="paragraph" w:styleId="BalloonText">
    <w:name w:val="Balloon Text"/>
    <w:basedOn w:val="Normal"/>
    <w:link w:val="BalloonTextChar"/>
    <w:uiPriority w:val="99"/>
    <w:semiHidden/>
    <w:unhideWhenUsed/>
    <w:rsid w:val="00321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38"/>
    <w:rPr>
      <w:rFonts w:ascii="Tahoma" w:hAnsi="Tahoma" w:cs="Tahoma"/>
      <w:sz w:val="16"/>
      <w:szCs w:val="16"/>
    </w:rPr>
  </w:style>
  <w:style w:type="paragraph" w:customStyle="1" w:styleId="Subhead2">
    <w:name w:val="Subhead2"/>
    <w:basedOn w:val="Heading1"/>
    <w:link w:val="Subhead2Char"/>
    <w:qFormat/>
    <w:rsid w:val="00321138"/>
    <w:pPr>
      <w:keepLines w:val="0"/>
      <w:tabs>
        <w:tab w:val="left" w:pos="0"/>
        <w:tab w:val="left" w:pos="720"/>
      </w:tabs>
      <w:suppressAutoHyphens/>
      <w:spacing w:before="120" w:after="120"/>
    </w:pPr>
    <w:rPr>
      <w:rFonts w:ascii="Calibri" w:eastAsia="Times New Roman" w:hAnsi="Calibri" w:cs="Times New Roman"/>
      <w:bCs w:val="0"/>
      <w:color w:val="595959"/>
      <w:lang w:val="x-none" w:eastAsia="ar-SA"/>
    </w:rPr>
  </w:style>
  <w:style w:type="character" w:customStyle="1" w:styleId="Subhead2Char">
    <w:name w:val="Subhead2 Char"/>
    <w:link w:val="Subhead2"/>
    <w:rsid w:val="00321138"/>
    <w:rPr>
      <w:rFonts w:ascii="Calibri" w:eastAsia="Times New Roman" w:hAnsi="Calibri" w:cs="Times New Roman"/>
      <w:b/>
      <w:color w:val="595959"/>
      <w:sz w:val="28"/>
      <w:szCs w:val="28"/>
      <w:lang w:val="x-none" w:eastAsia="ar-SA"/>
    </w:rPr>
  </w:style>
  <w:style w:type="paragraph" w:customStyle="1" w:styleId="Bulletedtext">
    <w:name w:val="Bulleted text"/>
    <w:basedOn w:val="Normal"/>
    <w:link w:val="BulletedtextChar"/>
    <w:qFormat/>
    <w:rsid w:val="00321138"/>
    <w:pPr>
      <w:numPr>
        <w:numId w:val="1"/>
      </w:numPr>
    </w:pPr>
    <w:rPr>
      <w:rFonts w:ascii="Calibri" w:hAnsi="Calibri"/>
      <w:sz w:val="24"/>
      <w:szCs w:val="24"/>
      <w:lang w:val="x-none" w:eastAsia="ar-SA"/>
    </w:rPr>
  </w:style>
  <w:style w:type="character" w:customStyle="1" w:styleId="BulletedtextChar">
    <w:name w:val="Bulleted text Char"/>
    <w:link w:val="Bulletedtext"/>
    <w:rsid w:val="00321138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customStyle="1" w:styleId="Numberedheading">
    <w:name w:val="Numbered heading"/>
    <w:basedOn w:val="Normal"/>
    <w:link w:val="NumberedheadingChar"/>
    <w:qFormat/>
    <w:rsid w:val="00321138"/>
    <w:pPr>
      <w:jc w:val="both"/>
    </w:pPr>
    <w:rPr>
      <w:rFonts w:ascii="Calibri" w:hAnsi="Calibri"/>
      <w:b/>
      <w:sz w:val="24"/>
      <w:szCs w:val="24"/>
      <w:lang w:val="x-none"/>
    </w:rPr>
  </w:style>
  <w:style w:type="character" w:customStyle="1" w:styleId="NumberedheadingChar">
    <w:name w:val="Numbered heading Char"/>
    <w:link w:val="Numberedheading"/>
    <w:rsid w:val="00321138"/>
    <w:rPr>
      <w:rFonts w:ascii="Calibri" w:eastAsia="Times New Roman" w:hAnsi="Calibri" w:cs="Times New Roman"/>
      <w:b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321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18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F18C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8CF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B1FB5"/>
    <w:rPr>
      <w:rFonts w:ascii="Century Gothic" w:eastAsia="Times New Roman" w:hAnsi="Century Gothic" w:cs="Arial"/>
      <w:b/>
      <w:bCs/>
      <w:sz w:val="21"/>
      <w:szCs w:val="21"/>
      <w:lang w:eastAsia="en-GB"/>
    </w:rPr>
  </w:style>
  <w:style w:type="paragraph" w:styleId="ListParagraph">
    <w:name w:val="List Paragraph"/>
    <w:basedOn w:val="Normal"/>
    <w:qFormat/>
    <w:rsid w:val="007A4047"/>
    <w:pPr>
      <w:numPr>
        <w:ilvl w:val="1"/>
        <w:numId w:val="4"/>
      </w:numPr>
      <w:jc w:val="both"/>
    </w:pPr>
    <w:rPr>
      <w:rFonts w:ascii="Century Gothic" w:hAnsi="Century Gothic" w:cs="Arial"/>
      <w:sz w:val="21"/>
      <w:szCs w:val="21"/>
      <w:lang w:eastAsia="en-GB"/>
    </w:rPr>
  </w:style>
  <w:style w:type="paragraph" w:styleId="Revision">
    <w:name w:val="Revision"/>
    <w:hidden/>
    <w:uiPriority w:val="99"/>
    <w:semiHidden/>
    <w:rsid w:val="007A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8421-D320-4CFA-9396-AFF37CA9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Lourtie</dc:creator>
  <cp:lastModifiedBy>Christine Taylor</cp:lastModifiedBy>
  <cp:revision>11</cp:revision>
  <dcterms:created xsi:type="dcterms:W3CDTF">2024-12-04T10:44:00Z</dcterms:created>
  <dcterms:modified xsi:type="dcterms:W3CDTF">2025-01-13T08:45:00Z</dcterms:modified>
</cp:coreProperties>
</file>