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B1D1A" w14:textId="77777777" w:rsidR="00467850" w:rsidRPr="00356F51" w:rsidRDefault="00467850" w:rsidP="009A0AC1">
      <w:pPr>
        <w:pStyle w:val="Heading2"/>
      </w:pPr>
      <w:r w:rsidRPr="00356F51">
        <w:t>Authors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843"/>
      </w:tblGrid>
      <w:tr w:rsidR="00467850" w:rsidRPr="00356F51" w14:paraId="187E3E55" w14:textId="77777777" w:rsidTr="00356F51">
        <w:tc>
          <w:tcPr>
            <w:tcW w:w="4621" w:type="dxa"/>
          </w:tcPr>
          <w:p w14:paraId="5D2877B6" w14:textId="44AF1D6D" w:rsidR="008E25A9" w:rsidRPr="00356F51" w:rsidRDefault="008E25A9" w:rsidP="00DC2142">
            <w:pPr>
              <w:ind w:left="-105"/>
            </w:pPr>
            <w:r w:rsidRPr="00356F51">
              <w:t>Dr James Palmer</w:t>
            </w:r>
          </w:p>
          <w:p w14:paraId="74857853" w14:textId="50937B2C" w:rsidR="00851820" w:rsidRDefault="0033370C" w:rsidP="00DC2142">
            <w:pPr>
              <w:ind w:left="-105"/>
            </w:pPr>
            <w:r>
              <w:t>Consultant Anaesthetist and</w:t>
            </w:r>
          </w:p>
          <w:p w14:paraId="3F6607FB" w14:textId="6D30E39A" w:rsidR="008E25A9" w:rsidRPr="00356F51" w:rsidRDefault="008E25A9" w:rsidP="00DC2142">
            <w:pPr>
              <w:ind w:left="-105"/>
            </w:pPr>
            <w:r w:rsidRPr="00356F51">
              <w:t>Honorary Senior Lecturer</w:t>
            </w:r>
          </w:p>
          <w:p w14:paraId="484CFD87" w14:textId="12F4AC2C" w:rsidR="008E25A9" w:rsidRPr="00356F51" w:rsidRDefault="008E25A9" w:rsidP="00DC2142">
            <w:pPr>
              <w:ind w:left="-105"/>
            </w:pPr>
            <w:r w:rsidRPr="00356F51">
              <w:t>Salford Royal Hospital</w:t>
            </w:r>
          </w:p>
          <w:p w14:paraId="4CA6F99C" w14:textId="77777777" w:rsidR="008E25A9" w:rsidRPr="00356F51" w:rsidRDefault="008E25A9" w:rsidP="00DC2142">
            <w:pPr>
              <w:ind w:left="-105"/>
            </w:pPr>
            <w:r w:rsidRPr="00356F51">
              <w:t>Salford</w:t>
            </w:r>
            <w:r w:rsidR="00752E1A">
              <w:t>, UK</w:t>
            </w:r>
          </w:p>
          <w:p w14:paraId="3CC2C025" w14:textId="77777777" w:rsidR="00467850" w:rsidRPr="00356F51" w:rsidRDefault="00467850" w:rsidP="00DC2142">
            <w:pPr>
              <w:ind w:left="-105"/>
            </w:pPr>
          </w:p>
        </w:tc>
        <w:tc>
          <w:tcPr>
            <w:tcW w:w="4843" w:type="dxa"/>
          </w:tcPr>
          <w:p w14:paraId="1652298E" w14:textId="0BF72624" w:rsidR="008E25A9" w:rsidRPr="00356F51" w:rsidRDefault="008E25A9" w:rsidP="00467850">
            <w:r w:rsidRPr="00356F51">
              <w:t>Dr Sandeep Lakhani</w:t>
            </w:r>
            <w:r w:rsidRPr="00356F51">
              <w:tab/>
            </w:r>
          </w:p>
          <w:p w14:paraId="6910E574" w14:textId="04A6FC25" w:rsidR="008E25A9" w:rsidRPr="00356F51" w:rsidRDefault="008E25A9" w:rsidP="00467850">
            <w:r w:rsidRPr="00356F51">
              <w:t>Consultant A</w:t>
            </w:r>
            <w:r w:rsidR="0033370C">
              <w:t>naesthetist and</w:t>
            </w:r>
            <w:r w:rsidR="00356F51" w:rsidRPr="00356F51">
              <w:t xml:space="preserve"> Clinical Director</w:t>
            </w:r>
          </w:p>
          <w:p w14:paraId="483F8E2C" w14:textId="05BCC271" w:rsidR="008E25A9" w:rsidRPr="00356F51" w:rsidRDefault="008E25A9" w:rsidP="00467850">
            <w:r w:rsidRPr="00356F51">
              <w:t>The Walton Centre</w:t>
            </w:r>
          </w:p>
          <w:p w14:paraId="493E1190" w14:textId="77777777" w:rsidR="00467850" w:rsidRPr="00356F51" w:rsidRDefault="008E25A9" w:rsidP="00467850">
            <w:r w:rsidRPr="00356F51">
              <w:t>Liverpool</w:t>
            </w:r>
            <w:r w:rsidR="00752E1A">
              <w:t>, UK</w:t>
            </w:r>
          </w:p>
          <w:p w14:paraId="6D34AA82" w14:textId="77777777" w:rsidR="00467850" w:rsidRPr="00356F51" w:rsidRDefault="00467850" w:rsidP="00752E1A"/>
        </w:tc>
      </w:tr>
      <w:tr w:rsidR="00467850" w:rsidRPr="00356F51" w14:paraId="58EEB6DF" w14:textId="77777777" w:rsidTr="00356F51">
        <w:tc>
          <w:tcPr>
            <w:tcW w:w="4621" w:type="dxa"/>
          </w:tcPr>
          <w:p w14:paraId="3E29F528" w14:textId="77777777" w:rsidR="008E25A9" w:rsidRPr="00356F51" w:rsidRDefault="008E25A9" w:rsidP="00DC2142">
            <w:pPr>
              <w:ind w:left="-105"/>
            </w:pPr>
            <w:r w:rsidRPr="00356F51">
              <w:t>Dr John Andrzejowski</w:t>
            </w:r>
          </w:p>
          <w:p w14:paraId="6AAED4CC" w14:textId="18227DF7" w:rsidR="008E25A9" w:rsidRPr="00356F51" w:rsidRDefault="000355CE" w:rsidP="00DC2142">
            <w:pPr>
              <w:ind w:left="-105"/>
            </w:pPr>
            <w:r w:rsidRPr="000355CE">
              <w:t xml:space="preserve">Past </w:t>
            </w:r>
            <w:r w:rsidR="008E25A9" w:rsidRPr="000355CE">
              <w:t>President</w:t>
            </w:r>
          </w:p>
          <w:p w14:paraId="71B22021" w14:textId="7E11E956" w:rsidR="007524BD" w:rsidRPr="00356F51" w:rsidRDefault="008E25A9" w:rsidP="007524BD">
            <w:pPr>
              <w:ind w:left="-105"/>
            </w:pPr>
            <w:r w:rsidRPr="00356F51">
              <w:t>Neuro Anaesthesia and Critical Care Society of Great Britain and Ireland</w:t>
            </w:r>
          </w:p>
        </w:tc>
        <w:tc>
          <w:tcPr>
            <w:tcW w:w="4843" w:type="dxa"/>
          </w:tcPr>
          <w:p w14:paraId="59879616" w14:textId="64577E06" w:rsidR="00377488" w:rsidRPr="00356F51" w:rsidRDefault="008E25A9" w:rsidP="00467850">
            <w:r w:rsidRPr="00356F51">
              <w:t>Dr Colin Dryden</w:t>
            </w:r>
          </w:p>
          <w:p w14:paraId="4195ACD3" w14:textId="77777777" w:rsidR="00377488" w:rsidRPr="00356F51" w:rsidRDefault="008E25A9" w:rsidP="00467850">
            <w:r w:rsidRPr="00356F51">
              <w:t xml:space="preserve">Consultant Paediatric </w:t>
            </w:r>
            <w:r w:rsidR="00377488" w:rsidRPr="00356F51">
              <w:t>Anaesthetist</w:t>
            </w:r>
          </w:p>
          <w:p w14:paraId="2613E489" w14:textId="77777777" w:rsidR="00377488" w:rsidRPr="00356F51" w:rsidRDefault="008E25A9" w:rsidP="00467850">
            <w:r w:rsidRPr="00356F51">
              <w:t xml:space="preserve">Alder Hey Children's </w:t>
            </w:r>
            <w:r w:rsidR="00377488" w:rsidRPr="00356F51">
              <w:t>Hospital</w:t>
            </w:r>
          </w:p>
          <w:p w14:paraId="166C6F18" w14:textId="01C68E4E" w:rsidR="00467850" w:rsidRPr="00356F51" w:rsidRDefault="00377488" w:rsidP="007524BD">
            <w:r w:rsidRPr="00356F51">
              <w:t>Liverpool</w:t>
            </w:r>
            <w:r w:rsidR="00752E1A">
              <w:t>, UK</w:t>
            </w:r>
          </w:p>
        </w:tc>
      </w:tr>
    </w:tbl>
    <w:p w14:paraId="58EA69F8" w14:textId="7FF2CCAC" w:rsidR="00D5464D" w:rsidRPr="00356F51" w:rsidRDefault="00D5464D" w:rsidP="009A0AC1">
      <w:pPr>
        <w:pStyle w:val="Heading2"/>
      </w:pPr>
      <w:r w:rsidRPr="00356F51">
        <w:t>Ch</w:t>
      </w:r>
      <w:r w:rsidR="00B72743">
        <w:t>apter Development Group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C25968" w:rsidRPr="00356F51" w14:paraId="6418CBE8" w14:textId="77777777" w:rsidTr="008C6BE9">
        <w:tc>
          <w:tcPr>
            <w:tcW w:w="4678" w:type="dxa"/>
          </w:tcPr>
          <w:p w14:paraId="33F02A95" w14:textId="46D7643F" w:rsidR="00377488" w:rsidRPr="00356F51" w:rsidRDefault="002D2A98" w:rsidP="00DC2142">
            <w:pPr>
              <w:ind w:left="-105"/>
            </w:pPr>
            <w:r>
              <w:t>Dr Ian Tweedie</w:t>
            </w:r>
          </w:p>
          <w:p w14:paraId="1F9E67A7" w14:textId="703172B5" w:rsidR="00377488" w:rsidRPr="00356F51" w:rsidRDefault="002D2A98" w:rsidP="00DC2142">
            <w:pPr>
              <w:ind w:left="-105"/>
            </w:pPr>
            <w:r>
              <w:t>Consultant Anaesthetist</w:t>
            </w:r>
          </w:p>
          <w:p w14:paraId="1AFB3D20" w14:textId="6CCD938E" w:rsidR="00377488" w:rsidRPr="002A044F" w:rsidRDefault="00173AD6" w:rsidP="00DC2142">
            <w:pPr>
              <w:ind w:left="-105"/>
            </w:pPr>
            <w:r>
              <w:t xml:space="preserve">The </w:t>
            </w:r>
            <w:r w:rsidR="002A044F" w:rsidRPr="002A044F">
              <w:t>Walton Centre</w:t>
            </w:r>
          </w:p>
          <w:p w14:paraId="3364A4BB" w14:textId="77777777" w:rsidR="002A044F" w:rsidRPr="002A044F" w:rsidRDefault="002A044F" w:rsidP="00DC2142">
            <w:pPr>
              <w:ind w:left="-105"/>
            </w:pPr>
            <w:r w:rsidRPr="002A044F">
              <w:t>Liverpool</w:t>
            </w:r>
            <w:r w:rsidR="00752E1A">
              <w:t>, UK</w:t>
            </w:r>
            <w:r w:rsidR="00377488" w:rsidRPr="002A044F">
              <w:t xml:space="preserve"> </w:t>
            </w:r>
          </w:p>
          <w:p w14:paraId="371064F0" w14:textId="77777777" w:rsidR="00377488" w:rsidRPr="00356F51" w:rsidRDefault="00377488" w:rsidP="00DC2142">
            <w:pPr>
              <w:ind w:left="-105"/>
            </w:pPr>
          </w:p>
        </w:tc>
        <w:tc>
          <w:tcPr>
            <w:tcW w:w="4348" w:type="dxa"/>
          </w:tcPr>
          <w:p w14:paraId="0AFD1E36" w14:textId="49A35099" w:rsidR="00377488" w:rsidRPr="00B615E0" w:rsidRDefault="002D2A98" w:rsidP="00C25968">
            <w:pPr>
              <w:rPr>
                <w:lang w:val="de-DE"/>
              </w:rPr>
            </w:pPr>
            <w:r>
              <w:rPr>
                <w:lang w:val="de-DE"/>
              </w:rPr>
              <w:t>Dr Dan Stubbs</w:t>
            </w:r>
          </w:p>
          <w:p w14:paraId="2B7CBAFC" w14:textId="5260A99D" w:rsidR="00C25968" w:rsidRPr="00B615E0" w:rsidRDefault="00B72743" w:rsidP="00C25968">
            <w:pPr>
              <w:rPr>
                <w:lang w:val="de-DE"/>
              </w:rPr>
            </w:pPr>
            <w:r>
              <w:rPr>
                <w:lang w:val="de-DE"/>
              </w:rPr>
              <w:t>Trainee Anaesthetist</w:t>
            </w:r>
          </w:p>
          <w:p w14:paraId="6B1E2651" w14:textId="77777777" w:rsidR="00C25968" w:rsidRPr="00356F51" w:rsidRDefault="00752E1A" w:rsidP="00C25968">
            <w:r>
              <w:t>Cambridge, UK</w:t>
            </w:r>
          </w:p>
          <w:p w14:paraId="7EB0EA48" w14:textId="77777777" w:rsidR="00C25968" w:rsidRPr="00356F51" w:rsidRDefault="00C25968" w:rsidP="00752E1A"/>
        </w:tc>
      </w:tr>
      <w:tr w:rsidR="00C25968" w:rsidRPr="00356F51" w14:paraId="467F0EAC" w14:textId="77777777" w:rsidTr="008C6BE9">
        <w:tc>
          <w:tcPr>
            <w:tcW w:w="4678" w:type="dxa"/>
          </w:tcPr>
          <w:p w14:paraId="278140B0" w14:textId="77777777" w:rsidR="00B14CDD" w:rsidRDefault="00B14CDD" w:rsidP="00DC2142">
            <w:pPr>
              <w:ind w:left="-105"/>
            </w:pPr>
            <w:r w:rsidRPr="00B14CDD">
              <w:t xml:space="preserve">Dr Matthew Gwinnutt </w:t>
            </w:r>
          </w:p>
          <w:p w14:paraId="265377F2" w14:textId="6FF5105A" w:rsidR="00EC744D" w:rsidRDefault="00EC744D" w:rsidP="00DC2142">
            <w:pPr>
              <w:ind w:left="-105"/>
            </w:pPr>
            <w:r>
              <w:t>Consultant Anaesthetist</w:t>
            </w:r>
          </w:p>
          <w:p w14:paraId="6B2D51A2" w14:textId="77777777" w:rsidR="00EC744D" w:rsidRDefault="00EC744D" w:rsidP="00DC2142">
            <w:pPr>
              <w:ind w:left="-105"/>
            </w:pPr>
            <w:r>
              <w:t>Aintree University Hospital NHS Foundation Trust and</w:t>
            </w:r>
          </w:p>
          <w:p w14:paraId="44A1A212" w14:textId="3E6613C2" w:rsidR="00EC744D" w:rsidRDefault="00EC744D" w:rsidP="00DC2142">
            <w:pPr>
              <w:ind w:left="-105"/>
            </w:pPr>
            <w:r>
              <w:t>The Walton Centre NHS Foundation Trust</w:t>
            </w:r>
          </w:p>
          <w:p w14:paraId="07D36DE0" w14:textId="77777777" w:rsidR="00377488" w:rsidRPr="00356F51" w:rsidRDefault="00EC744D" w:rsidP="00DC2142">
            <w:pPr>
              <w:ind w:left="-105"/>
            </w:pPr>
            <w:r>
              <w:t>Liverpool</w:t>
            </w:r>
            <w:r w:rsidR="00752E1A">
              <w:t>, UK</w:t>
            </w:r>
          </w:p>
          <w:p w14:paraId="552ADBFA" w14:textId="77777777" w:rsidR="00C25968" w:rsidRPr="00356F51" w:rsidRDefault="00C25968" w:rsidP="00DC2142">
            <w:pPr>
              <w:ind w:left="-105"/>
            </w:pPr>
          </w:p>
        </w:tc>
        <w:tc>
          <w:tcPr>
            <w:tcW w:w="4348" w:type="dxa"/>
          </w:tcPr>
          <w:p w14:paraId="6845E919" w14:textId="77777777" w:rsidR="00377488" w:rsidRPr="00356F51" w:rsidRDefault="00377488" w:rsidP="00C25968">
            <w:r w:rsidRPr="00356F51">
              <w:t>Prof David Menon</w:t>
            </w:r>
          </w:p>
          <w:p w14:paraId="5D0C57C5" w14:textId="77777777" w:rsidR="005F22AB" w:rsidRDefault="005F22AB" w:rsidP="00C25968">
            <w:r w:rsidRPr="005F22AB">
              <w:t>Professor and Head of Division of Anaesthesia</w:t>
            </w:r>
          </w:p>
          <w:p w14:paraId="3D900BCA" w14:textId="77777777" w:rsidR="005F22AB" w:rsidRDefault="005F22AB" w:rsidP="00C25968">
            <w:r>
              <w:t>Cambridge University Hospital</w:t>
            </w:r>
          </w:p>
          <w:p w14:paraId="5A211B73" w14:textId="77777777" w:rsidR="00C25968" w:rsidRPr="00356F51" w:rsidRDefault="00377488" w:rsidP="00C25968">
            <w:r w:rsidRPr="00356F51">
              <w:t>Faculty of Intensive Care Medicine</w:t>
            </w:r>
            <w:r w:rsidR="00C25968" w:rsidRPr="00356F51">
              <w:t xml:space="preserve"> </w:t>
            </w:r>
          </w:p>
          <w:p w14:paraId="4326E72A" w14:textId="77777777" w:rsidR="00C25968" w:rsidRPr="00356F51" w:rsidRDefault="00C25968" w:rsidP="00C25968"/>
        </w:tc>
      </w:tr>
      <w:tr w:rsidR="00C25968" w:rsidRPr="00356F51" w14:paraId="7344F923" w14:textId="77777777" w:rsidTr="008C6BE9">
        <w:tc>
          <w:tcPr>
            <w:tcW w:w="4678" w:type="dxa"/>
          </w:tcPr>
          <w:p w14:paraId="1362C337" w14:textId="7E823E85" w:rsidR="00377488" w:rsidRPr="00356F51" w:rsidRDefault="00377488" w:rsidP="00DC2142">
            <w:pPr>
              <w:ind w:left="-105"/>
            </w:pPr>
            <w:r w:rsidRPr="00356F51">
              <w:t>Dr Catriona Kelly</w:t>
            </w:r>
          </w:p>
          <w:p w14:paraId="4EE7C994" w14:textId="77777777" w:rsidR="00377488" w:rsidRPr="00356F51" w:rsidRDefault="00377488" w:rsidP="00DC2142">
            <w:pPr>
              <w:ind w:left="-105"/>
            </w:pPr>
            <w:r w:rsidRPr="00356F51">
              <w:t>Consultant Anaesthetist</w:t>
            </w:r>
            <w:r w:rsidRPr="00356F51">
              <w:tab/>
            </w:r>
          </w:p>
          <w:p w14:paraId="2D2D203D" w14:textId="307ED3E1" w:rsidR="00377488" w:rsidRPr="00356F51" w:rsidRDefault="00377488" w:rsidP="00DC2142">
            <w:pPr>
              <w:ind w:left="-105"/>
            </w:pPr>
            <w:r w:rsidRPr="00356F51">
              <w:t xml:space="preserve">Royal </w:t>
            </w:r>
            <w:r w:rsidR="0037739C">
              <w:t xml:space="preserve">Victoria Hospital </w:t>
            </w:r>
            <w:r w:rsidRPr="00356F51">
              <w:t>Belfast</w:t>
            </w:r>
            <w:r w:rsidRPr="00356F51">
              <w:tab/>
            </w:r>
          </w:p>
          <w:p w14:paraId="373A8619" w14:textId="77777777" w:rsidR="00C25968" w:rsidRPr="00356F51" w:rsidRDefault="00377488" w:rsidP="00DC2142">
            <w:pPr>
              <w:ind w:left="-105"/>
            </w:pPr>
            <w:r w:rsidRPr="00356F51">
              <w:t>Belfast</w:t>
            </w:r>
            <w:r w:rsidR="00752E1A">
              <w:t>, UK</w:t>
            </w:r>
          </w:p>
          <w:p w14:paraId="5B3740ED" w14:textId="77777777" w:rsidR="00C25968" w:rsidRPr="00356F51" w:rsidRDefault="00C25968" w:rsidP="00DC2142">
            <w:pPr>
              <w:ind w:left="-105"/>
            </w:pPr>
          </w:p>
        </w:tc>
        <w:tc>
          <w:tcPr>
            <w:tcW w:w="4348" w:type="dxa"/>
          </w:tcPr>
          <w:p w14:paraId="71C2A7C0" w14:textId="77777777" w:rsidR="00377488" w:rsidRPr="00356F51" w:rsidRDefault="00377488" w:rsidP="00C25968">
            <w:r w:rsidRPr="00356F51">
              <w:t>Dr Linda Stewart</w:t>
            </w:r>
          </w:p>
          <w:p w14:paraId="53AA60EB" w14:textId="77777777" w:rsidR="00377488" w:rsidRPr="00356F51" w:rsidRDefault="00377488" w:rsidP="00C25968">
            <w:r w:rsidRPr="00356F51">
              <w:t xml:space="preserve">Consultant Anaesthetist </w:t>
            </w:r>
          </w:p>
          <w:p w14:paraId="4A54EE10" w14:textId="77777777" w:rsidR="00377488" w:rsidRPr="00356F51" w:rsidRDefault="005F22AB" w:rsidP="00C25968">
            <w:r w:rsidRPr="005F22AB">
              <w:t>Queen Elizabeth University Hospital</w:t>
            </w:r>
          </w:p>
          <w:p w14:paraId="373DBBB9" w14:textId="77777777" w:rsidR="00C25968" w:rsidRPr="00356F51" w:rsidRDefault="00377488" w:rsidP="00C25968">
            <w:r w:rsidRPr="00356F51">
              <w:t>Glasgow</w:t>
            </w:r>
            <w:r w:rsidR="00752E1A">
              <w:t>, UK</w:t>
            </w:r>
          </w:p>
          <w:p w14:paraId="56576EDD" w14:textId="77777777" w:rsidR="00377488" w:rsidRPr="00356F51" w:rsidRDefault="00377488" w:rsidP="00752E1A"/>
        </w:tc>
      </w:tr>
      <w:tr w:rsidR="00C25968" w:rsidRPr="00356F51" w14:paraId="39CFB11C" w14:textId="77777777" w:rsidTr="008C6BE9">
        <w:tc>
          <w:tcPr>
            <w:tcW w:w="4678" w:type="dxa"/>
          </w:tcPr>
          <w:p w14:paraId="3816A049" w14:textId="77777777" w:rsidR="00377488" w:rsidRPr="00356F51" w:rsidRDefault="00377488" w:rsidP="00DC2142">
            <w:pPr>
              <w:ind w:left="-105"/>
            </w:pPr>
            <w:r w:rsidRPr="00356F51">
              <w:t>Mr Surajit Basu</w:t>
            </w:r>
            <w:r w:rsidRPr="00356F51">
              <w:tab/>
            </w:r>
          </w:p>
          <w:p w14:paraId="570FF200" w14:textId="77777777" w:rsidR="005F22AB" w:rsidRDefault="005F22AB" w:rsidP="00DC2142">
            <w:pPr>
              <w:ind w:left="-105"/>
            </w:pPr>
            <w:r w:rsidRPr="005F22AB">
              <w:t>Consultant Neurosurgeon</w:t>
            </w:r>
          </w:p>
          <w:p w14:paraId="19C3CFE8" w14:textId="77777777" w:rsidR="00C25968" w:rsidRPr="00356F51" w:rsidRDefault="000727F3" w:rsidP="00DC2142">
            <w:pPr>
              <w:ind w:left="-105"/>
            </w:pPr>
            <w:r w:rsidRPr="000727F3">
              <w:t>Society of British Neurological Surgeons</w:t>
            </w:r>
            <w:r w:rsidR="00377488" w:rsidRPr="00356F51">
              <w:t xml:space="preserve"> </w:t>
            </w:r>
          </w:p>
          <w:p w14:paraId="080BABF6" w14:textId="77777777" w:rsidR="00C25968" w:rsidRPr="00356F51" w:rsidRDefault="00C25968" w:rsidP="00DC2142">
            <w:pPr>
              <w:ind w:left="-105"/>
            </w:pPr>
          </w:p>
        </w:tc>
        <w:tc>
          <w:tcPr>
            <w:tcW w:w="4348" w:type="dxa"/>
          </w:tcPr>
          <w:p w14:paraId="42D0A414" w14:textId="77777777" w:rsidR="00C25968" w:rsidRPr="00B615E0" w:rsidRDefault="000727F3" w:rsidP="00377488">
            <w:pPr>
              <w:rPr>
                <w:lang w:val="fr-FR"/>
              </w:rPr>
            </w:pPr>
            <w:r w:rsidRPr="00B615E0">
              <w:rPr>
                <w:lang w:val="fr-FR"/>
              </w:rPr>
              <w:t>Dr Simon Logan</w:t>
            </w:r>
          </w:p>
          <w:p w14:paraId="59337772" w14:textId="21AD7AA0" w:rsidR="000727F3" w:rsidRPr="00B615E0" w:rsidRDefault="000727F3" w:rsidP="000727F3">
            <w:pPr>
              <w:rPr>
                <w:lang w:val="fr-FR"/>
              </w:rPr>
            </w:pPr>
            <w:r w:rsidRPr="00B615E0">
              <w:rPr>
                <w:lang w:val="fr-FR"/>
              </w:rPr>
              <w:t>Consultant Neurovascular Anaesthetist</w:t>
            </w:r>
            <w:r w:rsidR="00BE66D6">
              <w:rPr>
                <w:lang w:val="fr-FR"/>
              </w:rPr>
              <w:t xml:space="preserve">  </w:t>
            </w:r>
          </w:p>
          <w:p w14:paraId="267A24A3" w14:textId="06666FA9" w:rsidR="000727F3" w:rsidRDefault="000727F3" w:rsidP="000727F3">
            <w:r w:rsidRPr="000727F3">
              <w:t>University Hospital of Wales</w:t>
            </w:r>
            <w:r w:rsidR="00BE66D6">
              <w:t xml:space="preserve"> </w:t>
            </w:r>
          </w:p>
          <w:p w14:paraId="36DC3AFC" w14:textId="77777777" w:rsidR="000F62EF" w:rsidRPr="00356F51" w:rsidRDefault="000727F3" w:rsidP="00752E1A">
            <w:r>
              <w:t>Cardiff</w:t>
            </w:r>
            <w:r w:rsidR="00752E1A">
              <w:t>, UK</w:t>
            </w:r>
          </w:p>
        </w:tc>
      </w:tr>
    </w:tbl>
    <w:p w14:paraId="6FCA57A9" w14:textId="77777777" w:rsidR="00DC7FED" w:rsidRPr="00356F51" w:rsidRDefault="00C25968" w:rsidP="009A0AC1">
      <w:pPr>
        <w:pStyle w:val="Heading2"/>
      </w:pPr>
      <w:r w:rsidRPr="00356F51">
        <w:t>A</w:t>
      </w:r>
      <w:r w:rsidR="00DC7FED" w:rsidRPr="00356F51">
        <w:t>cknowledgements</w:t>
      </w:r>
    </w:p>
    <w:p w14:paraId="4091DC17" w14:textId="44F7E6CA" w:rsidR="00DC7FED" w:rsidRPr="00DC2142" w:rsidRDefault="00BD2DDD" w:rsidP="00DC2142">
      <w:pPr>
        <w:pStyle w:val="Heading3"/>
      </w:pPr>
      <w:r>
        <w:t>Peer r</w:t>
      </w:r>
      <w:r w:rsidR="00DC7FED" w:rsidRPr="00DC2142">
        <w:t>eviewers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C25968" w:rsidRPr="00356F51" w14:paraId="62D837BC" w14:textId="77777777" w:rsidTr="008C6BE9">
        <w:tc>
          <w:tcPr>
            <w:tcW w:w="4678" w:type="dxa"/>
          </w:tcPr>
          <w:p w14:paraId="36B53533" w14:textId="77777777" w:rsidR="008707AD" w:rsidRDefault="00605C4C" w:rsidP="00DC2142">
            <w:pPr>
              <w:ind w:left="-105"/>
              <w:rPr>
                <w:lang w:val="fr-FR"/>
              </w:rPr>
            </w:pPr>
            <w:r w:rsidRPr="00605C4C">
              <w:rPr>
                <w:lang w:val="fr-FR"/>
              </w:rPr>
              <w:t xml:space="preserve">Dr Rahul Ratnakar Bajekal </w:t>
            </w:r>
          </w:p>
          <w:p w14:paraId="60C6AD02" w14:textId="77777777" w:rsidR="00E219B1" w:rsidRPr="00E219B1" w:rsidRDefault="00E219B1" w:rsidP="00DC2142">
            <w:pPr>
              <w:ind w:left="-105"/>
              <w:rPr>
                <w:lang w:val="fr-FR"/>
              </w:rPr>
            </w:pPr>
            <w:r w:rsidRPr="00E219B1">
              <w:rPr>
                <w:lang w:val="fr-FR"/>
              </w:rPr>
              <w:t>Consultant Anaesthetist</w:t>
            </w:r>
          </w:p>
          <w:p w14:paraId="40E80A81" w14:textId="77777777" w:rsidR="00E219B1" w:rsidRPr="00E219B1" w:rsidRDefault="00E219B1" w:rsidP="00DC2142">
            <w:pPr>
              <w:ind w:left="-105"/>
              <w:rPr>
                <w:lang w:val="fr-FR"/>
              </w:rPr>
            </w:pPr>
            <w:r w:rsidRPr="00E219B1">
              <w:rPr>
                <w:lang w:val="fr-FR"/>
              </w:rPr>
              <w:t>Royal Victoria Infirmary</w:t>
            </w:r>
          </w:p>
          <w:p w14:paraId="663026FD" w14:textId="77777777" w:rsidR="00C25968" w:rsidRDefault="00E219B1" w:rsidP="00DC2142">
            <w:pPr>
              <w:ind w:left="-105"/>
              <w:rPr>
                <w:lang w:val="fr-FR"/>
              </w:rPr>
            </w:pPr>
            <w:r w:rsidRPr="00E219B1">
              <w:rPr>
                <w:lang w:val="fr-FR"/>
              </w:rPr>
              <w:t>Newcastle upon Tyne</w:t>
            </w:r>
            <w:r w:rsidR="0033370C">
              <w:rPr>
                <w:lang w:val="fr-FR"/>
              </w:rPr>
              <w:t>, UK</w:t>
            </w:r>
          </w:p>
          <w:p w14:paraId="20E7DC78" w14:textId="6BD1AEEA" w:rsidR="00A14E0A" w:rsidRPr="00356F51" w:rsidRDefault="00A14E0A" w:rsidP="00DC2142">
            <w:pPr>
              <w:ind w:left="-105"/>
            </w:pPr>
          </w:p>
        </w:tc>
        <w:tc>
          <w:tcPr>
            <w:tcW w:w="4348" w:type="dxa"/>
          </w:tcPr>
          <w:p w14:paraId="7A01A6C1" w14:textId="77777777" w:rsidR="002F464E" w:rsidRDefault="002F464E" w:rsidP="00C25968">
            <w:pPr>
              <w:rPr>
                <w:lang w:val="fr-FR"/>
              </w:rPr>
            </w:pPr>
            <w:r w:rsidRPr="002F464E">
              <w:rPr>
                <w:lang w:val="fr-FR"/>
              </w:rPr>
              <w:t xml:space="preserve">Dr </w:t>
            </w:r>
            <w:r>
              <w:rPr>
                <w:lang w:val="fr-FR"/>
              </w:rPr>
              <w:t xml:space="preserve">Davina </w:t>
            </w:r>
            <w:r w:rsidRPr="002F464E">
              <w:rPr>
                <w:lang w:val="fr-FR"/>
              </w:rPr>
              <w:t>Ross-Anderson</w:t>
            </w:r>
          </w:p>
          <w:p w14:paraId="2C673F0A" w14:textId="77777777" w:rsidR="00E219B1" w:rsidRPr="00E219B1" w:rsidRDefault="00E219B1" w:rsidP="00E219B1">
            <w:pPr>
              <w:rPr>
                <w:lang w:val="fr-FR"/>
              </w:rPr>
            </w:pPr>
            <w:r w:rsidRPr="00E219B1">
              <w:rPr>
                <w:lang w:val="fr-FR"/>
              </w:rPr>
              <w:t>Consultant Anaesthetist</w:t>
            </w:r>
          </w:p>
          <w:p w14:paraId="0FEA1F1A" w14:textId="77777777" w:rsidR="00E219B1" w:rsidRPr="00E219B1" w:rsidRDefault="00E219B1" w:rsidP="00E219B1">
            <w:pPr>
              <w:rPr>
                <w:lang w:val="fr-FR"/>
              </w:rPr>
            </w:pPr>
            <w:r w:rsidRPr="00E219B1">
              <w:rPr>
                <w:lang w:val="fr-FR"/>
              </w:rPr>
              <w:t>Royal London Hospital</w:t>
            </w:r>
          </w:p>
          <w:p w14:paraId="23B7F254" w14:textId="77777777" w:rsidR="00C25968" w:rsidRPr="00356F51" w:rsidRDefault="00E219B1" w:rsidP="00E219B1">
            <w:r w:rsidRPr="00E219B1">
              <w:rPr>
                <w:lang w:val="fr-FR"/>
              </w:rPr>
              <w:t xml:space="preserve">London, UK </w:t>
            </w:r>
          </w:p>
        </w:tc>
      </w:tr>
    </w:tbl>
    <w:p w14:paraId="1BDF227B" w14:textId="67EB91C1" w:rsidR="00DC7FED" w:rsidRPr="00492FD7" w:rsidRDefault="00DC7FED" w:rsidP="00DC2142">
      <w:pPr>
        <w:pStyle w:val="Heading3"/>
      </w:pPr>
      <w:r w:rsidRPr="00492FD7">
        <w:t xml:space="preserve">Chapter </w:t>
      </w:r>
      <w:r w:rsidR="000D78FC" w:rsidRPr="00492FD7">
        <w:t>development technical team</w:t>
      </w:r>
    </w:p>
    <w:p w14:paraId="5A3A93D6" w14:textId="77777777" w:rsidR="00DC7FED" w:rsidRPr="00356F51" w:rsidRDefault="00DC7FED" w:rsidP="00DC2142">
      <w:pPr>
        <w:pStyle w:val="Heading3"/>
        <w:sectPr w:rsidR="00DC7FED" w:rsidRPr="00356F51" w:rsidSect="002D2A98">
          <w:headerReference w:type="default" r:id="rId8"/>
          <w:footerReference w:type="default" r:id="rId9"/>
          <w:type w:val="continuous"/>
          <w:pgSz w:w="11906" w:h="16838"/>
          <w:pgMar w:top="2552" w:right="1134" w:bottom="851" w:left="1134" w:header="709" w:footer="454"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C25968" w:rsidRPr="00356F51" w14:paraId="19EC3737" w14:textId="77777777" w:rsidTr="008C6BE9">
        <w:tc>
          <w:tcPr>
            <w:tcW w:w="4678" w:type="dxa"/>
          </w:tcPr>
          <w:p w14:paraId="144659B4" w14:textId="77777777" w:rsidR="009B75F4" w:rsidRPr="00356F51" w:rsidRDefault="009B75F4" w:rsidP="00DC2142">
            <w:pPr>
              <w:ind w:left="-105"/>
            </w:pPr>
            <w:r w:rsidRPr="00356F51">
              <w:t>Dr Rachel Evley</w:t>
            </w:r>
          </w:p>
          <w:p w14:paraId="69EC0383" w14:textId="77777777" w:rsidR="009B75F4" w:rsidRPr="00356F51" w:rsidRDefault="009B75F4" w:rsidP="00DC2142">
            <w:pPr>
              <w:ind w:left="-105"/>
            </w:pPr>
            <w:r w:rsidRPr="00356F51">
              <w:t>Research Fellow</w:t>
            </w:r>
          </w:p>
          <w:p w14:paraId="1E4FB07A" w14:textId="77777777" w:rsidR="00C25968" w:rsidRPr="00356F51" w:rsidRDefault="009B75F4" w:rsidP="00DC2142">
            <w:pPr>
              <w:ind w:left="-105"/>
            </w:pPr>
            <w:r w:rsidRPr="00356F51">
              <w:t>University of Nottingham</w:t>
            </w:r>
            <w:r w:rsidRPr="00356F51">
              <w:tab/>
            </w:r>
          </w:p>
          <w:p w14:paraId="723203C5" w14:textId="77777777" w:rsidR="009B75F4" w:rsidRPr="00356F51" w:rsidRDefault="009B75F4" w:rsidP="00DC2142">
            <w:pPr>
              <w:ind w:left="-105"/>
            </w:pPr>
          </w:p>
        </w:tc>
        <w:tc>
          <w:tcPr>
            <w:tcW w:w="4348" w:type="dxa"/>
          </w:tcPr>
          <w:p w14:paraId="03C79967" w14:textId="77777777" w:rsidR="009B75F4" w:rsidRPr="00356F51" w:rsidRDefault="009B75F4" w:rsidP="0033370C">
            <w:r w:rsidRPr="00356F51">
              <w:t>Ms Ruth Nichols</w:t>
            </w:r>
          </w:p>
          <w:p w14:paraId="1B54A936" w14:textId="77777777" w:rsidR="00C25968" w:rsidRPr="00356F51" w:rsidRDefault="009B75F4" w:rsidP="009B75F4">
            <w:r w:rsidRPr="00356F51">
              <w:t xml:space="preserve">Royal College of Anaesthetists </w:t>
            </w:r>
          </w:p>
        </w:tc>
      </w:tr>
      <w:tr w:rsidR="009B75F4" w:rsidRPr="00356F51" w14:paraId="1BF8B312" w14:textId="77777777" w:rsidTr="008C6BE9">
        <w:tc>
          <w:tcPr>
            <w:tcW w:w="4678" w:type="dxa"/>
          </w:tcPr>
          <w:p w14:paraId="160EEE1C" w14:textId="77777777" w:rsidR="009B75F4" w:rsidRPr="00356F51" w:rsidRDefault="009B75F4" w:rsidP="00DC2142">
            <w:pPr>
              <w:ind w:left="-105"/>
            </w:pPr>
            <w:r w:rsidRPr="00356F51">
              <w:t>Miss Nicola Hancock</w:t>
            </w:r>
          </w:p>
          <w:p w14:paraId="5A76AF55" w14:textId="23B50D00" w:rsidR="00C41FFC" w:rsidRPr="00356F51" w:rsidRDefault="009B75F4" w:rsidP="00DC2142">
            <w:pPr>
              <w:ind w:left="-105"/>
            </w:pPr>
            <w:r w:rsidRPr="00356F51">
              <w:t>Royal College of Anaesthetists</w:t>
            </w:r>
          </w:p>
        </w:tc>
        <w:tc>
          <w:tcPr>
            <w:tcW w:w="4348" w:type="dxa"/>
          </w:tcPr>
          <w:p w14:paraId="16312659" w14:textId="77777777" w:rsidR="009B75F4" w:rsidRPr="00356F51" w:rsidRDefault="009B75F4" w:rsidP="00C57ED9">
            <w:r w:rsidRPr="00356F51">
              <w:t xml:space="preserve">Ms Carly Melbourne </w:t>
            </w:r>
          </w:p>
          <w:p w14:paraId="64228943" w14:textId="4CC3B086" w:rsidR="009B75F4" w:rsidRPr="00356F51" w:rsidRDefault="009B75F4" w:rsidP="00DC2142">
            <w:r w:rsidRPr="00356F51">
              <w:t>Royal College of Anaesthetists</w:t>
            </w:r>
          </w:p>
        </w:tc>
      </w:tr>
    </w:tbl>
    <w:p w14:paraId="2EFA8A50" w14:textId="49E10970" w:rsidR="00034CAB" w:rsidRPr="00356F51" w:rsidRDefault="00034CAB" w:rsidP="009A0AC1">
      <w:pPr>
        <w:pStyle w:val="Heading2"/>
      </w:pPr>
      <w:r w:rsidRPr="00356F51">
        <w:lastRenderedPageBreak/>
        <w:t>Declarations of Interest</w:t>
      </w:r>
    </w:p>
    <w:p w14:paraId="5C98F18F" w14:textId="2634626C" w:rsidR="00034CAB" w:rsidRPr="00356F51" w:rsidRDefault="00034CAB" w:rsidP="00B72743">
      <w:r w:rsidRPr="00356F51">
        <w:t xml:space="preserve">All </w:t>
      </w:r>
      <w:r w:rsidR="00F327A6">
        <w:t>c</w:t>
      </w:r>
      <w:r w:rsidR="00F472BD" w:rsidRPr="00356F51">
        <w:t xml:space="preserve">hapter </w:t>
      </w:r>
      <w:r w:rsidR="00F327A6">
        <w:t>d</w:t>
      </w:r>
      <w:r w:rsidR="00F472BD" w:rsidRPr="00356F51">
        <w:t xml:space="preserve">evelopment </w:t>
      </w:r>
      <w:r w:rsidR="00F327A6">
        <w:t>g</w:t>
      </w:r>
      <w:r w:rsidR="00F472BD" w:rsidRPr="00356F51">
        <w:t xml:space="preserve">roup </w:t>
      </w:r>
      <w:r w:rsidR="00F327A6">
        <w:t>(</w:t>
      </w:r>
      <w:r w:rsidR="00F472BD">
        <w:t xml:space="preserve">CDG) </w:t>
      </w:r>
      <w:r w:rsidRPr="00356F51">
        <w:t xml:space="preserve">members, stakeholders and external peer reviewers were asked to declare any pecuniary or non-pecuniary conflict of interest, in line with the </w:t>
      </w:r>
      <w:r w:rsidR="00F327A6" w:rsidRPr="00356F51">
        <w:t xml:space="preserve">guidelines for the provision of anaesthetic services </w:t>
      </w:r>
      <w:r w:rsidR="00F327A6">
        <w:t>(</w:t>
      </w:r>
      <w:r w:rsidRPr="00356F51">
        <w:t>GPAS</w:t>
      </w:r>
      <w:r w:rsidR="00F327A6">
        <w:t>)</w:t>
      </w:r>
      <w:r w:rsidRPr="00356F51">
        <w:t xml:space="preserve"> conflict of interest policy as described in the </w:t>
      </w:r>
      <w:hyperlink r:id="rId10" w:history="1">
        <w:r w:rsidRPr="00DC2142">
          <w:rPr>
            <w:rStyle w:val="Hyperlink"/>
            <w:sz w:val="20"/>
            <w:szCs w:val="20"/>
          </w:rPr>
          <w:t xml:space="preserve">GPAS </w:t>
        </w:r>
        <w:r w:rsidR="003970A4" w:rsidRPr="00DC2142">
          <w:rPr>
            <w:rStyle w:val="Hyperlink"/>
            <w:sz w:val="20"/>
            <w:szCs w:val="20"/>
          </w:rPr>
          <w:t>chapter development process document</w:t>
        </w:r>
      </w:hyperlink>
      <w:r w:rsidRPr="00356F51">
        <w:t xml:space="preserve">. </w:t>
      </w:r>
    </w:p>
    <w:p w14:paraId="7A16FBF5" w14:textId="71CA0DBA" w:rsidR="00034CAB" w:rsidRPr="00356F51" w:rsidRDefault="00034CAB" w:rsidP="00034CAB">
      <w:r w:rsidRPr="00356F51">
        <w:t>The nature of the involvement in all declarations made was not determined as being a risk to the transparency or impartiality of the chapter development. Where a member was conflicted in relation to a particular piece of evidence, they were asked to declare this and then if necessary removed themselves from the discussion of that particular piece of evidence and any recommendation pertaining to it.</w:t>
      </w:r>
    </w:p>
    <w:p w14:paraId="5ECCDC50" w14:textId="77777777" w:rsidR="00BA1A59" w:rsidRPr="00356F51" w:rsidRDefault="00BA1A59" w:rsidP="009A0AC1">
      <w:pPr>
        <w:pStyle w:val="Heading2"/>
      </w:pPr>
      <w:r w:rsidRPr="00356F51">
        <w:t>Medico-legal implications of GPAS guidelines</w:t>
      </w:r>
    </w:p>
    <w:p w14:paraId="742CE212" w14:textId="77777777" w:rsidR="00BA1A59" w:rsidRPr="00DC2142" w:rsidRDefault="00BA1A59" w:rsidP="00BA1A59">
      <w:pPr>
        <w:rPr>
          <w:rStyle w:val="SubtleEmphasis"/>
          <w:rFonts w:asciiTheme="minorHAnsi" w:hAnsiTheme="minorHAnsi"/>
          <w:sz w:val="20"/>
        </w:rPr>
      </w:pPr>
      <w:r w:rsidRPr="00DC2142">
        <w:rPr>
          <w:rStyle w:val="SubtleEmphasis"/>
          <w:rFonts w:asciiTheme="minorHAnsi" w:hAnsiTheme="minorHAnsi"/>
          <w:sz w:val="20"/>
        </w:rPr>
        <w:t>GPAS guidelines are not intended to be construed or to serve as a standard of clinical care. Standards of care are determined on the basis of all clinical data available for an individual case and are subject to change as scientific knowledge and technology advance and patterns of care evolve. Adherence to guideline recommendations will not ensure successful outcome in every case, nor should they be construed as including all proper methods of care or excluding other acceptable methods of care aimed at the same results. The ultimate judgement must be made by the appropriate healthcare professional(s) responsible for clinical decisions regarding a particular clinical procedure or treatment plan. This judgement should only be arrived at following discussion of the options with the patient, covering the diagnostic and treatment choices available. It is advised, however, that significant departures from the national guideline or any local guidelines derived from it should be fully documented in the patient’s case notes at the time the relevant decision is taken.</w:t>
      </w:r>
    </w:p>
    <w:p w14:paraId="78E9B3CA" w14:textId="77777777" w:rsidR="00C25968" w:rsidRPr="00356F51" w:rsidRDefault="00C25968" w:rsidP="009A0AC1">
      <w:pPr>
        <w:pStyle w:val="Heading2"/>
      </w:pPr>
      <w:r w:rsidRPr="00356F51">
        <w:t>Promoting equality and addressing health inequalities</w:t>
      </w:r>
    </w:p>
    <w:p w14:paraId="38A331E9" w14:textId="233991A1" w:rsidR="00C25968" w:rsidRPr="00356F51" w:rsidRDefault="00C25968" w:rsidP="00B72743">
      <w:pPr>
        <w:spacing w:after="120"/>
      </w:pPr>
      <w:r w:rsidRPr="00356F51">
        <w:t>The Royal College of Anaesthetists</w:t>
      </w:r>
      <w:r w:rsidR="000C7102">
        <w:t xml:space="preserve"> (RCoA)</w:t>
      </w:r>
      <w:r w:rsidRPr="00356F51">
        <w:t xml:space="preserve"> is committed to promoting equality and addressing health inequalities. Throughout the development of these guidelines we have: </w:t>
      </w:r>
    </w:p>
    <w:p w14:paraId="67BE9647" w14:textId="28D80730" w:rsidR="00C25968" w:rsidRPr="00356F51" w:rsidRDefault="00B72743" w:rsidP="00DC2142">
      <w:pPr>
        <w:pStyle w:val="bullets"/>
      </w:pPr>
      <w:r>
        <w:t>g</w:t>
      </w:r>
      <w:r w:rsidR="00C25968" w:rsidRPr="00356F51">
        <w:t>iven due regard to the need to eliminate discrimination, harassment and victimisation, to advance equality of opportunity, and to foster good relations between people who share a relevant protected characteristic (as cited under the Equality Act 2010) and those who do not share it</w:t>
      </w:r>
    </w:p>
    <w:p w14:paraId="15980B72" w14:textId="7FF2B822" w:rsidR="00C25968" w:rsidRPr="00356F51" w:rsidRDefault="00B72743" w:rsidP="00DC2142">
      <w:pPr>
        <w:pStyle w:val="bullets"/>
      </w:pPr>
      <w:r>
        <w:t>g</w:t>
      </w:r>
      <w:r w:rsidR="00C25968" w:rsidRPr="00356F51">
        <w:t>iven regard to the need to reduce inequalities between patients in access to, and outcomes from healthcare services and to ensure services are provided in an integrated way where this might reduce health inequalities.</w:t>
      </w:r>
    </w:p>
    <w:p w14:paraId="04FBCC3D" w14:textId="77777777" w:rsidR="00C25968" w:rsidRPr="00356F51" w:rsidRDefault="00C25968" w:rsidP="009A0AC1">
      <w:pPr>
        <w:pStyle w:val="Heading2"/>
      </w:pPr>
      <w:r w:rsidRPr="00356F51">
        <w:t>GPAS guidelines in context</w:t>
      </w:r>
    </w:p>
    <w:p w14:paraId="4AD70000" w14:textId="3E8ECBD2" w:rsidR="00467850" w:rsidRPr="00356F51" w:rsidRDefault="00467850" w:rsidP="00F472BD">
      <w:r w:rsidRPr="00356F51">
        <w:t xml:space="preserve">The GPAS documents should be viewed as ‘living documents’. The GPAS </w:t>
      </w:r>
      <w:r w:rsidR="000D78FC" w:rsidRPr="00356F51">
        <w:t>gui</w:t>
      </w:r>
      <w:r w:rsidRPr="00356F51">
        <w:t>delines development, implementation and review should be seen not as a linear process, but as a cycle of interdependent activities. These in turn are part of a range of activities to translate evidence into practice, set standards and promote clinical excellence in patient care.</w:t>
      </w:r>
    </w:p>
    <w:p w14:paraId="3527D08D" w14:textId="77777777" w:rsidR="00467850" w:rsidRPr="00356F51" w:rsidRDefault="00467850" w:rsidP="00492FD7">
      <w:pPr>
        <w:spacing w:after="80"/>
      </w:pPr>
      <w:r w:rsidRPr="00356F51">
        <w:t>Each of the GPAS chapters should be seen as independent but interlinked documents. Guidelines on the general provision of anaesthetic services are detailed in the following chapters of GPAS:</w:t>
      </w:r>
    </w:p>
    <w:bookmarkStart w:id="0" w:name="_Hlk507765871"/>
    <w:p w14:paraId="32D55B54" w14:textId="41B518C5" w:rsidR="00F472BD" w:rsidRPr="00BD2DDD" w:rsidRDefault="00BD2DDD" w:rsidP="00DC2142">
      <w:pPr>
        <w:pStyle w:val="bullets"/>
        <w:rPr>
          <w:szCs w:val="20"/>
        </w:rPr>
      </w:pPr>
      <w:r>
        <w:rPr>
          <w:szCs w:val="20"/>
        </w:rPr>
        <w:fldChar w:fldCharType="begin"/>
      </w:r>
      <w:r>
        <w:rPr>
          <w:szCs w:val="20"/>
        </w:rPr>
        <w:instrText xml:space="preserve"> HYPERLINK "https://www.rcoa.ac.uk/gpas2019" </w:instrText>
      </w:r>
      <w:r>
        <w:rPr>
          <w:szCs w:val="20"/>
        </w:rPr>
        <w:fldChar w:fldCharType="separate"/>
      </w:r>
      <w:r w:rsidR="00DC2142" w:rsidRPr="00BD2DDD">
        <w:rPr>
          <w:rStyle w:val="Hyperlink"/>
          <w:sz w:val="20"/>
          <w:szCs w:val="20"/>
        </w:rPr>
        <w:t>c</w:t>
      </w:r>
      <w:r w:rsidRPr="00BD2DDD">
        <w:rPr>
          <w:rStyle w:val="Hyperlink"/>
          <w:sz w:val="20"/>
          <w:szCs w:val="20"/>
        </w:rPr>
        <w:t>hapter 2: g</w:t>
      </w:r>
      <w:r w:rsidR="00F472BD" w:rsidRPr="00BD2DDD">
        <w:rPr>
          <w:rStyle w:val="Hyperlink"/>
          <w:sz w:val="20"/>
          <w:szCs w:val="20"/>
        </w:rPr>
        <w:t xml:space="preserve">uidelines for the provision </w:t>
      </w:r>
      <w:r w:rsidR="00AC56BE" w:rsidRPr="00BD2DDD">
        <w:rPr>
          <w:rStyle w:val="Hyperlink"/>
          <w:sz w:val="20"/>
          <w:szCs w:val="20"/>
        </w:rPr>
        <w:t>of anaesthesia services for pre</w:t>
      </w:r>
      <w:r w:rsidR="00F472BD" w:rsidRPr="00BD2DDD">
        <w:rPr>
          <w:rStyle w:val="Hyperlink"/>
          <w:sz w:val="20"/>
          <w:szCs w:val="20"/>
        </w:rPr>
        <w:t>operative assessment and p</w:t>
      </w:r>
      <w:r w:rsidR="00492FD7" w:rsidRPr="00BD2DDD">
        <w:rPr>
          <w:rStyle w:val="Hyperlink"/>
          <w:sz w:val="20"/>
          <w:szCs w:val="20"/>
        </w:rPr>
        <w:t>reparation</w:t>
      </w:r>
      <w:r>
        <w:rPr>
          <w:szCs w:val="20"/>
        </w:rPr>
        <w:fldChar w:fldCharType="end"/>
      </w:r>
      <w:r w:rsidR="00492FD7" w:rsidRPr="00BD2DDD">
        <w:rPr>
          <w:szCs w:val="20"/>
        </w:rPr>
        <w:t xml:space="preserve"> </w:t>
      </w:r>
    </w:p>
    <w:p w14:paraId="3E1D8127" w14:textId="4B65AD7A" w:rsidR="00F472BD" w:rsidRPr="00BD2DDD" w:rsidRDefault="00736468" w:rsidP="00DC2142">
      <w:pPr>
        <w:pStyle w:val="bullets"/>
        <w:rPr>
          <w:szCs w:val="20"/>
        </w:rPr>
      </w:pPr>
      <w:hyperlink r:id="rId11" w:history="1">
        <w:r w:rsidR="00DC2142" w:rsidRPr="00BD2DDD">
          <w:rPr>
            <w:rStyle w:val="Hyperlink"/>
            <w:sz w:val="20"/>
            <w:szCs w:val="20"/>
          </w:rPr>
          <w:t>c</w:t>
        </w:r>
        <w:r w:rsidR="00BD2DDD" w:rsidRPr="00BD2DDD">
          <w:rPr>
            <w:rStyle w:val="Hyperlink"/>
            <w:sz w:val="20"/>
            <w:szCs w:val="20"/>
          </w:rPr>
          <w:t>hapter 3: g</w:t>
        </w:r>
        <w:r w:rsidR="00F472BD" w:rsidRPr="00BD2DDD">
          <w:rPr>
            <w:rStyle w:val="Hyperlink"/>
            <w:sz w:val="20"/>
            <w:szCs w:val="20"/>
          </w:rPr>
          <w:t>uidelines for the provision of anaesthesia servic</w:t>
        </w:r>
        <w:r w:rsidR="00AC56BE" w:rsidRPr="00BD2DDD">
          <w:rPr>
            <w:rStyle w:val="Hyperlink"/>
            <w:sz w:val="20"/>
            <w:szCs w:val="20"/>
          </w:rPr>
          <w:t>es for intra</w:t>
        </w:r>
        <w:r w:rsidR="00492FD7" w:rsidRPr="00BD2DDD">
          <w:rPr>
            <w:rStyle w:val="Hyperlink"/>
            <w:sz w:val="20"/>
            <w:szCs w:val="20"/>
          </w:rPr>
          <w:t>operative care</w:t>
        </w:r>
      </w:hyperlink>
    </w:p>
    <w:p w14:paraId="0CF094A1" w14:textId="4B43B190" w:rsidR="00F472BD" w:rsidRPr="00BD2DDD" w:rsidRDefault="00736468" w:rsidP="00DC2142">
      <w:pPr>
        <w:pStyle w:val="bullets"/>
        <w:rPr>
          <w:szCs w:val="20"/>
        </w:rPr>
      </w:pPr>
      <w:hyperlink r:id="rId12" w:history="1">
        <w:r w:rsidR="00DC2142" w:rsidRPr="00BD2DDD">
          <w:rPr>
            <w:rStyle w:val="Hyperlink"/>
            <w:sz w:val="20"/>
            <w:szCs w:val="20"/>
          </w:rPr>
          <w:t>c</w:t>
        </w:r>
        <w:r w:rsidR="00BD2DDD" w:rsidRPr="00BD2DDD">
          <w:rPr>
            <w:rStyle w:val="Hyperlink"/>
            <w:sz w:val="20"/>
            <w:szCs w:val="20"/>
          </w:rPr>
          <w:t>hapter 4: g</w:t>
        </w:r>
        <w:r w:rsidR="00F472BD" w:rsidRPr="00BD2DDD">
          <w:rPr>
            <w:rStyle w:val="Hyperlink"/>
            <w:sz w:val="20"/>
            <w:szCs w:val="20"/>
          </w:rPr>
          <w:t>uidelines for the provision of anaesthesia servic</w:t>
        </w:r>
        <w:r w:rsidR="00AC56BE" w:rsidRPr="00BD2DDD">
          <w:rPr>
            <w:rStyle w:val="Hyperlink"/>
            <w:sz w:val="20"/>
            <w:szCs w:val="20"/>
          </w:rPr>
          <w:t>es for post</w:t>
        </w:r>
        <w:r w:rsidR="00F472BD" w:rsidRPr="00BD2DDD">
          <w:rPr>
            <w:rStyle w:val="Hyperlink"/>
            <w:sz w:val="20"/>
            <w:szCs w:val="20"/>
          </w:rPr>
          <w:t>operative care</w:t>
        </w:r>
      </w:hyperlink>
    </w:p>
    <w:bookmarkEnd w:id="0"/>
    <w:p w14:paraId="284E43D2" w14:textId="345B3B3B" w:rsidR="00B72743" w:rsidRDefault="00467850" w:rsidP="000C7102">
      <w:r w:rsidRPr="00356F51">
        <w:lastRenderedPageBreak/>
        <w:t xml:space="preserve">These guidelines apply to all patients who require anaesthesia or sedation, and are under the care of an anaesthetist. For urgent or immediate emergency interventions, this guidance may need to be modified as described in </w:t>
      </w:r>
      <w:bookmarkStart w:id="1" w:name="_Hlk507765883"/>
      <w:r w:rsidR="00BD2DDD">
        <w:rPr>
          <w:szCs w:val="20"/>
        </w:rPr>
        <w:fldChar w:fldCharType="begin"/>
      </w:r>
      <w:r w:rsidR="00BD2DDD">
        <w:rPr>
          <w:szCs w:val="20"/>
        </w:rPr>
        <w:instrText xml:space="preserve"> HYPERLINK "https://www.rcoa.ac.uk/gpas2019" </w:instrText>
      </w:r>
      <w:r w:rsidR="00BD2DDD">
        <w:rPr>
          <w:szCs w:val="20"/>
        </w:rPr>
        <w:fldChar w:fldCharType="separate"/>
      </w:r>
      <w:r w:rsidR="00DC2142" w:rsidRPr="00BD2DDD">
        <w:rPr>
          <w:rStyle w:val="Hyperlink"/>
          <w:sz w:val="20"/>
          <w:szCs w:val="20"/>
        </w:rPr>
        <w:t>c</w:t>
      </w:r>
      <w:r w:rsidR="00BD2DDD" w:rsidRPr="00BD2DDD">
        <w:rPr>
          <w:rStyle w:val="Hyperlink"/>
          <w:sz w:val="20"/>
          <w:szCs w:val="20"/>
        </w:rPr>
        <w:t>hapter 5: g</w:t>
      </w:r>
      <w:r w:rsidR="00F472BD" w:rsidRPr="00BD2DDD">
        <w:rPr>
          <w:rStyle w:val="Hyperlink"/>
          <w:sz w:val="20"/>
          <w:szCs w:val="20"/>
        </w:rPr>
        <w:t>uidelines for the provision of emergency anaesthesia</w:t>
      </w:r>
      <w:r w:rsidR="00BD2DDD">
        <w:rPr>
          <w:szCs w:val="20"/>
        </w:rPr>
        <w:fldChar w:fldCharType="end"/>
      </w:r>
      <w:r w:rsidR="00F472BD" w:rsidRPr="00DC2142">
        <w:rPr>
          <w:szCs w:val="20"/>
        </w:rPr>
        <w:t>.</w:t>
      </w:r>
      <w:bookmarkEnd w:id="1"/>
    </w:p>
    <w:p w14:paraId="6CD41CA6" w14:textId="3BDF139B" w:rsidR="00467850" w:rsidRPr="00356F51" w:rsidRDefault="00467850" w:rsidP="000C7102">
      <w:r w:rsidRPr="00356F51">
        <w:t xml:space="preserve">The rest of the chapters of GPAS apply only to the population groups and settings outlined in the </w:t>
      </w:r>
      <w:r w:rsidR="00F472BD">
        <w:t>‘</w:t>
      </w:r>
      <w:r w:rsidRPr="00356F51">
        <w:t>Scope</w:t>
      </w:r>
      <w:r w:rsidR="00F472BD">
        <w:t>’</w:t>
      </w:r>
      <w:r w:rsidRPr="00356F51">
        <w:t xml:space="preserve"> section of these chapters. They outline guidance that is additional, different or particularly important to those population groups and settings included in the </w:t>
      </w:r>
      <w:r w:rsidR="00F472BD">
        <w:t>‘</w:t>
      </w:r>
      <w:r w:rsidRPr="00356F51">
        <w:t>Scope</w:t>
      </w:r>
      <w:r w:rsidR="00F472BD">
        <w:t>’</w:t>
      </w:r>
      <w:r w:rsidRPr="00356F51">
        <w:t>. Unless otherwise stated within the chapter, the re</w:t>
      </w:r>
      <w:r w:rsidR="008B3FFF">
        <w:t>commendations outlined in c</w:t>
      </w:r>
      <w:r w:rsidRPr="00356F51">
        <w:t>hapters 2–5 still apply.</w:t>
      </w:r>
    </w:p>
    <w:p w14:paraId="205BEB17" w14:textId="77777777" w:rsidR="00467850" w:rsidRPr="00356F51" w:rsidRDefault="00467850" w:rsidP="000C7102">
      <w:r w:rsidRPr="00356F51">
        <w:t>Each chapter will undergo yearly review, and will be continuously updated in the light of new evidence.</w:t>
      </w:r>
    </w:p>
    <w:p w14:paraId="0156A2A8" w14:textId="77777777" w:rsidR="00467850" w:rsidRPr="00356F51" w:rsidRDefault="00467850" w:rsidP="000C7102">
      <w:r w:rsidRPr="00356F51">
        <w:t xml:space="preserve">Guidelines alone will not result in better treatment and care for patients. Local and national implementation is crucial for changes in practice necessary for improvements in treatment and patient care. </w:t>
      </w:r>
    </w:p>
    <w:p w14:paraId="7837B998" w14:textId="51A5DEB7" w:rsidR="00D5464D" w:rsidRPr="00356F51" w:rsidRDefault="00B72743" w:rsidP="009A0AC1">
      <w:pPr>
        <w:pStyle w:val="Heading2"/>
      </w:pPr>
      <w:r>
        <w:t>Aims and o</w:t>
      </w:r>
      <w:r w:rsidR="00C94F81" w:rsidRPr="00356F51">
        <w:t>bjectives</w:t>
      </w:r>
    </w:p>
    <w:p w14:paraId="0CD7F814" w14:textId="77777777" w:rsidR="00467850" w:rsidRPr="00356F51" w:rsidRDefault="00467850" w:rsidP="000C7102">
      <w:r w:rsidRPr="00356F51">
        <w:t xml:space="preserve">The objective of this chapter is to promote current best practice for service provision in </w:t>
      </w:r>
      <w:r w:rsidR="00F87680" w:rsidRPr="00356F51">
        <w:t>neuroanaesthesia</w:t>
      </w:r>
      <w:r w:rsidRPr="00356F51">
        <w:t>. The guidance is intended for use by anaesthetists with responsibilities for service delivery and healthcare managers.</w:t>
      </w:r>
    </w:p>
    <w:p w14:paraId="5454D47B" w14:textId="77777777" w:rsidR="00467850" w:rsidRPr="00356F51" w:rsidRDefault="00467850" w:rsidP="000C7102">
      <w:r w:rsidRPr="00356F51">
        <w:t xml:space="preserve">This guideline does not comprehensively describe clinical best practice in </w:t>
      </w:r>
      <w:r w:rsidR="00F87680" w:rsidRPr="00356F51">
        <w:t>neuroanaesthesia</w:t>
      </w:r>
      <w:r w:rsidRPr="00356F51">
        <w:t xml:space="preserve">, but is primarily concerned with the requirements for the provision of a safe, effective, well-led service, which may be delivered by many different acceptable models. The guidance on provision of </w:t>
      </w:r>
      <w:r w:rsidR="00F87680" w:rsidRPr="00356F51">
        <w:t>neuroanaesthesia</w:t>
      </w:r>
      <w:r w:rsidRPr="00356F51">
        <w:t xml:space="preserve"> applies to all settings where this is</w:t>
      </w:r>
      <w:r w:rsidR="00A52073" w:rsidRPr="00356F51">
        <w:t xml:space="preserve"> </w:t>
      </w:r>
      <w:r w:rsidRPr="00356F51">
        <w:t xml:space="preserve">undertaken, regardless of funding. All age groups are included within the guidance unless </w:t>
      </w:r>
      <w:r w:rsidR="00A52073" w:rsidRPr="00356F51">
        <w:t>o</w:t>
      </w:r>
      <w:r w:rsidRPr="00356F51">
        <w:t>therwise stated, reflecting</w:t>
      </w:r>
      <w:r w:rsidR="00A52073" w:rsidRPr="00356F51">
        <w:t xml:space="preserve"> </w:t>
      </w:r>
      <w:r w:rsidRPr="00356F51">
        <w:t>the broad nature of this service.</w:t>
      </w:r>
    </w:p>
    <w:p w14:paraId="55685BE2" w14:textId="11FEE21C" w:rsidR="00467850" w:rsidRPr="00356F51" w:rsidRDefault="00467850" w:rsidP="000C7102">
      <w:r w:rsidRPr="00356F51">
        <w:t>A wide range of evidence has been rigorously reviewed during the production of this chapter, including</w:t>
      </w:r>
      <w:r w:rsidR="00A52073" w:rsidRPr="00356F51">
        <w:t xml:space="preserve"> </w:t>
      </w:r>
      <w:r w:rsidR="00BD2DDD">
        <w:t xml:space="preserve">recommendations from peer </w:t>
      </w:r>
      <w:r w:rsidRPr="00356F51">
        <w:t>reviewed publications and national guidance where available. However, both the authors</w:t>
      </w:r>
      <w:r w:rsidR="00A52073" w:rsidRPr="00356F51">
        <w:t xml:space="preserve"> </w:t>
      </w:r>
      <w:r w:rsidRPr="00356F51">
        <w:t xml:space="preserve">and the </w:t>
      </w:r>
      <w:r w:rsidR="00F472BD">
        <w:t>CDG</w:t>
      </w:r>
      <w:r w:rsidRPr="00356F51">
        <w:t xml:space="preserve"> agreed that there is a paucity of </w:t>
      </w:r>
      <w:r w:rsidR="00BD2DDD">
        <w:t>l</w:t>
      </w:r>
      <w:r w:rsidRPr="00356F51">
        <w:t>evel 1 evidence relating to service provision</w:t>
      </w:r>
      <w:r w:rsidR="00A52073" w:rsidRPr="00356F51">
        <w:t xml:space="preserve"> </w:t>
      </w:r>
      <w:r w:rsidRPr="00356F51">
        <w:t xml:space="preserve">in </w:t>
      </w:r>
      <w:r w:rsidR="00F87680" w:rsidRPr="00356F51">
        <w:t>neuroanaesthesia</w:t>
      </w:r>
      <w:r w:rsidRPr="00356F51">
        <w:t>. In some cases</w:t>
      </w:r>
      <w:r w:rsidR="00DD687A">
        <w:t>,</w:t>
      </w:r>
      <w:r w:rsidRPr="00356F51">
        <w:t xml:space="preserve"> it has been necessary to include recommendations of good practice based</w:t>
      </w:r>
      <w:r w:rsidR="00A52073" w:rsidRPr="00356F51">
        <w:t xml:space="preserve"> </w:t>
      </w:r>
      <w:r w:rsidRPr="00356F51">
        <w:t xml:space="preserve">on the clinical experience of the </w:t>
      </w:r>
      <w:r w:rsidR="00F472BD">
        <w:t>CDG</w:t>
      </w:r>
      <w:r w:rsidRPr="00356F51">
        <w:t>. We hope that this document will act as a stimulus to</w:t>
      </w:r>
      <w:r w:rsidR="00A52073" w:rsidRPr="00356F51">
        <w:t xml:space="preserve"> </w:t>
      </w:r>
      <w:r w:rsidRPr="00356F51">
        <w:t>future research.</w:t>
      </w:r>
    </w:p>
    <w:p w14:paraId="1F99C7D8" w14:textId="791245BD" w:rsidR="00467850" w:rsidRPr="00356F51" w:rsidRDefault="00467850" w:rsidP="000C7102">
      <w:r w:rsidRPr="00356F51">
        <w:t xml:space="preserve">The recommendations in this chapter will support the RCoA’s Anaesthesia Clinical Services Accreditation </w:t>
      </w:r>
      <w:r w:rsidR="00F472BD">
        <w:t xml:space="preserve">(ACSA) </w:t>
      </w:r>
      <w:r w:rsidRPr="00356F51">
        <w:t xml:space="preserve">process. </w:t>
      </w:r>
    </w:p>
    <w:p w14:paraId="69945BAB" w14:textId="77777777" w:rsidR="00D5464D" w:rsidRPr="00356F51" w:rsidRDefault="00845ADF" w:rsidP="009A0AC1">
      <w:pPr>
        <w:pStyle w:val="Heading2"/>
      </w:pPr>
      <w:r>
        <w:t>S</w:t>
      </w:r>
      <w:r w:rsidR="00D5464D" w:rsidRPr="00356F51">
        <w:t>cope</w:t>
      </w:r>
    </w:p>
    <w:p w14:paraId="7B8DA3C8" w14:textId="6A7C3791" w:rsidR="0060509C" w:rsidRPr="00492FD7" w:rsidRDefault="0060509C" w:rsidP="00DC2142">
      <w:pPr>
        <w:pStyle w:val="Heading3"/>
      </w:pPr>
      <w:r w:rsidRPr="00492FD7">
        <w:t xml:space="preserve">Target </w:t>
      </w:r>
      <w:r w:rsidR="000D78FC" w:rsidRPr="00492FD7">
        <w:t>audience</w:t>
      </w:r>
    </w:p>
    <w:p w14:paraId="03D128BF" w14:textId="256FB9CA" w:rsidR="009B75F4" w:rsidRPr="00356F51" w:rsidRDefault="009B75F4" w:rsidP="00B72743">
      <w:pPr>
        <w:rPr>
          <w:b/>
          <w:bCs/>
        </w:rPr>
      </w:pPr>
      <w:r w:rsidRPr="00356F51">
        <w:t>All staff groups working in neuroanaesthesia, including (but not restricted to) consultant anaesthetists</w:t>
      </w:r>
      <w:r w:rsidR="0037739C">
        <w:t>, specialty doctor and</w:t>
      </w:r>
      <w:r w:rsidR="000850C3" w:rsidRPr="0033370C">
        <w:t xml:space="preserve"> associate specialist </w:t>
      </w:r>
      <w:r w:rsidR="0033370C">
        <w:t>(SAS) anaesthetists,</w:t>
      </w:r>
      <w:r w:rsidRPr="00356F51">
        <w:t xml:space="preserve"> anaesthetists</w:t>
      </w:r>
      <w:r w:rsidR="00BD2DDD">
        <w:t xml:space="preserve"> in training</w:t>
      </w:r>
      <w:r w:rsidRPr="00356F51">
        <w:t xml:space="preserve"> and nurses</w:t>
      </w:r>
      <w:r w:rsidR="000850C3">
        <w:t>.</w:t>
      </w:r>
      <w:r w:rsidRPr="00356F51">
        <w:t xml:space="preserve"> </w:t>
      </w:r>
    </w:p>
    <w:p w14:paraId="0A14C8E2" w14:textId="76D099D7" w:rsidR="0060509C" w:rsidRPr="00492FD7" w:rsidRDefault="0060509C" w:rsidP="00DC2142">
      <w:pPr>
        <w:pStyle w:val="Heading3"/>
      </w:pPr>
      <w:r w:rsidRPr="00492FD7">
        <w:t xml:space="preserve">Target </w:t>
      </w:r>
      <w:r w:rsidR="000D78FC" w:rsidRPr="00492FD7">
        <w:t>population</w:t>
      </w:r>
    </w:p>
    <w:p w14:paraId="5A6B40FE" w14:textId="25CF90FF" w:rsidR="009B75F4" w:rsidRPr="00356F51" w:rsidRDefault="009B75F4" w:rsidP="00E77E90">
      <w:r w:rsidRPr="00356F51">
        <w:t>All ages of patients undergoing neuroanaesthesia</w:t>
      </w:r>
      <w:r w:rsidR="00E77E90">
        <w:t>.</w:t>
      </w:r>
    </w:p>
    <w:p w14:paraId="5FA947A2" w14:textId="0248F727" w:rsidR="0060509C" w:rsidRPr="00492FD7" w:rsidRDefault="0060509C" w:rsidP="00DC2142">
      <w:pPr>
        <w:pStyle w:val="Heading3"/>
      </w:pPr>
      <w:r w:rsidRPr="00492FD7">
        <w:t xml:space="preserve">Healthcare </w:t>
      </w:r>
      <w:r w:rsidR="000D78FC" w:rsidRPr="00492FD7">
        <w:t>setting</w:t>
      </w:r>
    </w:p>
    <w:p w14:paraId="7C2DF940" w14:textId="222230E9" w:rsidR="009B75F4" w:rsidRDefault="009B75F4" w:rsidP="00B72743">
      <w:pPr>
        <w:spacing w:after="120"/>
      </w:pPr>
      <w:r w:rsidRPr="00356F51">
        <w:t>All settings within the hospital in which neuroanaesthesia and neurocritical care are provided</w:t>
      </w:r>
      <w:r w:rsidR="00E77E90">
        <w:t>.</w:t>
      </w:r>
    </w:p>
    <w:p w14:paraId="12C4E637" w14:textId="77777777" w:rsidR="00131913" w:rsidRDefault="00131913" w:rsidP="00B72743">
      <w:pPr>
        <w:spacing w:after="80"/>
        <w:rPr>
          <w:b/>
          <w:color w:val="291F51" w:themeColor="accent1"/>
        </w:rPr>
      </w:pPr>
    </w:p>
    <w:p w14:paraId="29B6D311" w14:textId="77777777" w:rsidR="00131913" w:rsidRDefault="00131913" w:rsidP="00B72743">
      <w:pPr>
        <w:spacing w:after="80"/>
        <w:rPr>
          <w:b/>
          <w:color w:val="291F51" w:themeColor="accent1"/>
        </w:rPr>
      </w:pPr>
    </w:p>
    <w:p w14:paraId="0ABFFF91" w14:textId="0B17C395" w:rsidR="009B75F4" w:rsidRPr="000C7102" w:rsidRDefault="009B75F4" w:rsidP="00B72743">
      <w:pPr>
        <w:spacing w:after="80"/>
        <w:rPr>
          <w:b/>
          <w:color w:val="291F51" w:themeColor="accent1"/>
        </w:rPr>
      </w:pPr>
      <w:r w:rsidRPr="000C7102">
        <w:rPr>
          <w:b/>
          <w:color w:val="291F51" w:themeColor="accent1"/>
        </w:rPr>
        <w:lastRenderedPageBreak/>
        <w:t>Neurocritical care</w:t>
      </w:r>
    </w:p>
    <w:p w14:paraId="02BC2623" w14:textId="6FFB3502" w:rsidR="002D43E6" w:rsidRPr="00356F51" w:rsidRDefault="00DB2B9D" w:rsidP="00B5082F">
      <w:pPr>
        <w:pStyle w:val="bullets"/>
      </w:pPr>
      <w:r w:rsidRPr="00B5082F">
        <w:rPr>
          <w:rStyle w:val="bulletsChar0"/>
        </w:rPr>
        <w:t>Guidelines for the Provision of Intensive Care Services (</w:t>
      </w:r>
      <w:r w:rsidR="009B75F4" w:rsidRPr="00B5082F">
        <w:rPr>
          <w:rStyle w:val="bulletsChar0"/>
        </w:rPr>
        <w:t>GPICS</w:t>
      </w:r>
      <w:r w:rsidRPr="00B5082F">
        <w:rPr>
          <w:rStyle w:val="bulletsChar0"/>
        </w:rPr>
        <w:t>)</w:t>
      </w:r>
      <w:r w:rsidR="009B75F4" w:rsidRPr="00B5082F">
        <w:rPr>
          <w:rStyle w:val="bulletsChar0"/>
        </w:rPr>
        <w:t xml:space="preserve"> covers neurocritical care within critical</w:t>
      </w:r>
      <w:r w:rsidR="009B75F4" w:rsidRPr="00356F51">
        <w:t xml:space="preserve"> care settings (</w:t>
      </w:r>
      <w:r w:rsidR="00015B42">
        <w:t>i</w:t>
      </w:r>
      <w:r w:rsidR="008B3FFF">
        <w:t>.</w:t>
      </w:r>
      <w:r w:rsidR="00015B42">
        <w:t>e</w:t>
      </w:r>
      <w:r w:rsidR="008B3FFF">
        <w:t>.</w:t>
      </w:r>
      <w:r w:rsidR="009B75F4" w:rsidRPr="00356F51">
        <w:t xml:space="preserve"> </w:t>
      </w:r>
      <w:r w:rsidR="00776B9F">
        <w:t>intensive care unit (</w:t>
      </w:r>
      <w:r w:rsidR="009B75F4" w:rsidRPr="00356F51">
        <w:t>ITU</w:t>
      </w:r>
      <w:r w:rsidR="00776B9F">
        <w:t>)</w:t>
      </w:r>
      <w:r w:rsidR="009B75F4" w:rsidRPr="00356F51">
        <w:t xml:space="preserve">, </w:t>
      </w:r>
      <w:r w:rsidR="00776B9F">
        <w:t>high dependency unit (</w:t>
      </w:r>
      <w:r w:rsidR="009B75F4" w:rsidRPr="00356F51">
        <w:t>HDU)</w:t>
      </w:r>
      <w:r w:rsidR="00776B9F">
        <w:t>.</w:t>
      </w:r>
      <w:r w:rsidR="002D43E6">
        <w:rPr>
          <w:rStyle w:val="EndnoteReference"/>
        </w:rPr>
        <w:endnoteReference w:id="1"/>
      </w:r>
    </w:p>
    <w:p w14:paraId="070FB2A2" w14:textId="3FEE7BB4" w:rsidR="002D43E6" w:rsidRPr="00356F51" w:rsidRDefault="002D43E6" w:rsidP="000C7102">
      <w:pPr>
        <w:pStyle w:val="bullets"/>
        <w:spacing w:after="200"/>
      </w:pPr>
      <w:r w:rsidRPr="00356F51">
        <w:t xml:space="preserve">GPAS covers critical care patients in theatre, the overflow of critical care patients into </w:t>
      </w:r>
      <w:r>
        <w:t>post</w:t>
      </w:r>
      <w:r w:rsidR="00127979">
        <w:t xml:space="preserve"> </w:t>
      </w:r>
      <w:r>
        <w:t>anaesthesia care units (</w:t>
      </w:r>
      <w:r w:rsidRPr="00356F51">
        <w:t>PACU</w:t>
      </w:r>
      <w:r>
        <w:t>)</w:t>
      </w:r>
      <w:r w:rsidRPr="00356F51">
        <w:t xml:space="preserve">, the transfer of critical care patients to and from theatre (or other centres), critical care patients in interventional radiology, </w:t>
      </w:r>
      <w:r>
        <w:t>m</w:t>
      </w:r>
      <w:r w:rsidRPr="00305D66">
        <w:t>agnetic resonance imaging</w:t>
      </w:r>
      <w:r>
        <w:t xml:space="preserve"> (</w:t>
      </w:r>
      <w:r w:rsidRPr="00356F51">
        <w:t>MRI</w:t>
      </w:r>
      <w:r>
        <w:t>)</w:t>
      </w:r>
      <w:r w:rsidRPr="00356F51">
        <w:t xml:space="preserve"> hybrid suites etc. as long as they are under the care of the department of anaesthesia.</w:t>
      </w:r>
    </w:p>
    <w:p w14:paraId="0044A0E3" w14:textId="2B47A59C" w:rsidR="002D43E6" w:rsidRPr="00492FD7" w:rsidRDefault="002D43E6" w:rsidP="00DC2142">
      <w:pPr>
        <w:pStyle w:val="Heading3"/>
      </w:pPr>
      <w:r w:rsidRPr="00492FD7">
        <w:t>Clinical management</w:t>
      </w:r>
    </w:p>
    <w:p w14:paraId="7213E581" w14:textId="674DE86A" w:rsidR="002D43E6" w:rsidRPr="00356F51" w:rsidRDefault="002D43E6" w:rsidP="00B5082F">
      <w:pPr>
        <w:pStyle w:val="Bullets0"/>
        <w:spacing w:after="200"/>
        <w:rPr>
          <w:b/>
          <w:bCs/>
        </w:rPr>
      </w:pPr>
      <w:r w:rsidRPr="00356F51">
        <w:t>Key components needed to ensure provision of high</w:t>
      </w:r>
      <w:r w:rsidR="00127979">
        <w:t xml:space="preserve"> </w:t>
      </w:r>
      <w:r w:rsidRPr="00356F51">
        <w:t>quality anaesthetic services for neuroanaesthesia</w:t>
      </w:r>
      <w:r>
        <w:t>.</w:t>
      </w:r>
    </w:p>
    <w:p w14:paraId="005877AF" w14:textId="77777777" w:rsidR="002D43E6" w:rsidRPr="00356F51" w:rsidRDefault="002D43E6" w:rsidP="00131913">
      <w:pPr>
        <w:pStyle w:val="Bullets0"/>
        <w:spacing w:after="120"/>
        <w:ind w:left="714" w:hanging="714"/>
        <w:rPr>
          <w:b/>
          <w:bCs/>
        </w:rPr>
      </w:pPr>
      <w:r w:rsidRPr="00356F51">
        <w:t>Areas of provision considered:</w:t>
      </w:r>
    </w:p>
    <w:p w14:paraId="5CF424C0" w14:textId="4CD6467D" w:rsidR="002D43E6" w:rsidRPr="00356F51" w:rsidRDefault="00B5082F" w:rsidP="00B5082F">
      <w:pPr>
        <w:pStyle w:val="bullets"/>
        <w:rPr>
          <w:b/>
          <w:bCs/>
        </w:rPr>
      </w:pPr>
      <w:r>
        <w:t>l</w:t>
      </w:r>
      <w:r w:rsidR="002D43E6" w:rsidRPr="00356F51">
        <w:t>evels of provision of service, including (but not restricted to) staffing, equipment, support services and facilities</w:t>
      </w:r>
      <w:r w:rsidR="002D43E6">
        <w:t>.</w:t>
      </w:r>
    </w:p>
    <w:p w14:paraId="1D32D217" w14:textId="4F536D36" w:rsidR="002D43E6" w:rsidRPr="00131913" w:rsidRDefault="00B5082F" w:rsidP="00131913">
      <w:pPr>
        <w:pStyle w:val="bullets"/>
        <w:rPr>
          <w:b/>
          <w:bCs/>
        </w:rPr>
      </w:pPr>
      <w:r>
        <w:t>a</w:t>
      </w:r>
      <w:r w:rsidR="002D43E6" w:rsidRPr="00356F51">
        <w:t xml:space="preserve">reas </w:t>
      </w:r>
      <w:r w:rsidR="00131913">
        <w:t>of special requirement including c</w:t>
      </w:r>
      <w:r w:rsidR="002D43E6">
        <w:t>hildren</w:t>
      </w:r>
      <w:r w:rsidR="00131913">
        <w:t>, c</w:t>
      </w:r>
      <w:r w:rsidR="002D43E6">
        <w:t xml:space="preserve">ritically ill </w:t>
      </w:r>
      <w:r w:rsidR="00131913">
        <w:t xml:space="preserve">patients, </w:t>
      </w:r>
      <w:r w:rsidR="002D43E6">
        <w:t xml:space="preserve">MRI </w:t>
      </w:r>
      <w:r w:rsidR="00131913">
        <w:t>and p</w:t>
      </w:r>
      <w:r w:rsidR="002D43E6">
        <w:t>regnant neurosurgical patients.</w:t>
      </w:r>
    </w:p>
    <w:p w14:paraId="41B27347" w14:textId="752B4AFA" w:rsidR="002D43E6" w:rsidRPr="00356F51" w:rsidRDefault="00B5082F" w:rsidP="00B5082F">
      <w:pPr>
        <w:pStyle w:val="bullets"/>
        <w:rPr>
          <w:b/>
          <w:bCs/>
        </w:rPr>
      </w:pPr>
      <w:r>
        <w:t>t</w:t>
      </w:r>
      <w:r w:rsidR="002D43E6" w:rsidRPr="00356F51">
        <w:t>raining and education</w:t>
      </w:r>
    </w:p>
    <w:p w14:paraId="75FD4A19" w14:textId="4BABD354" w:rsidR="002D43E6" w:rsidRPr="00356F51" w:rsidRDefault="00B5082F" w:rsidP="00B5082F">
      <w:pPr>
        <w:pStyle w:val="bullets"/>
        <w:rPr>
          <w:b/>
          <w:bCs/>
        </w:rPr>
      </w:pPr>
      <w:r>
        <w:t>r</w:t>
      </w:r>
      <w:r w:rsidR="002D43E6" w:rsidRPr="00356F51">
        <w:t xml:space="preserve">esearch and </w:t>
      </w:r>
      <w:r w:rsidR="002D43E6">
        <w:t>a</w:t>
      </w:r>
      <w:r w:rsidR="002D43E6" w:rsidRPr="00356F51">
        <w:t>udit</w:t>
      </w:r>
    </w:p>
    <w:p w14:paraId="1110A316" w14:textId="3E029FD7" w:rsidR="002D43E6" w:rsidRPr="00356F51" w:rsidRDefault="00B5082F" w:rsidP="00B5082F">
      <w:pPr>
        <w:pStyle w:val="bullets"/>
        <w:rPr>
          <w:b/>
          <w:bCs/>
        </w:rPr>
      </w:pPr>
      <w:r>
        <w:t>o</w:t>
      </w:r>
      <w:r w:rsidR="002D43E6" w:rsidRPr="00356F51">
        <w:t>rganisation and administration</w:t>
      </w:r>
    </w:p>
    <w:p w14:paraId="464D3C2A" w14:textId="31C89DE0" w:rsidR="002D43E6" w:rsidRPr="00356F51" w:rsidRDefault="00B5082F" w:rsidP="000C7102">
      <w:pPr>
        <w:pStyle w:val="bullets"/>
        <w:spacing w:after="200"/>
        <w:rPr>
          <w:b/>
          <w:bCs/>
        </w:rPr>
      </w:pPr>
      <w:r>
        <w:t>p</w:t>
      </w:r>
      <w:r w:rsidR="002D43E6" w:rsidRPr="00356F51">
        <w:t xml:space="preserve">atient </w:t>
      </w:r>
      <w:r w:rsidR="002D43E6">
        <w:t>i</w:t>
      </w:r>
      <w:r w:rsidR="002D43E6" w:rsidRPr="00356F51">
        <w:t>nformation</w:t>
      </w:r>
      <w:r w:rsidR="000C7102">
        <w:t>.</w:t>
      </w:r>
    </w:p>
    <w:p w14:paraId="1C09E170" w14:textId="77777777" w:rsidR="002D43E6" w:rsidRPr="00356F51" w:rsidRDefault="002D43E6" w:rsidP="00DC2142">
      <w:pPr>
        <w:pStyle w:val="Heading3"/>
      </w:pPr>
      <w:r w:rsidRPr="00492FD7">
        <w:t>Exclusions</w:t>
      </w:r>
    </w:p>
    <w:p w14:paraId="421A58C8" w14:textId="1F56E6CB" w:rsidR="002D43E6" w:rsidRPr="00356F51" w:rsidRDefault="00F327A6" w:rsidP="00F327A6">
      <w:r>
        <w:t>P</w:t>
      </w:r>
      <w:r w:rsidR="002D43E6" w:rsidRPr="00356F51">
        <w:t>rovision of neuroanaesthesia services by a specialty other than anaesthesia</w:t>
      </w:r>
    </w:p>
    <w:p w14:paraId="07CCDB5C" w14:textId="40421446" w:rsidR="002D43E6" w:rsidRPr="00356F51" w:rsidRDefault="00F327A6" w:rsidP="00F327A6">
      <w:r>
        <w:t>P</w:t>
      </w:r>
      <w:r w:rsidR="002D43E6" w:rsidRPr="00356F51">
        <w:t xml:space="preserve">rovision of neurocritical care in an intensive care </w:t>
      </w:r>
      <w:r w:rsidR="00131913">
        <w:t>unit</w:t>
      </w:r>
    </w:p>
    <w:p w14:paraId="5907FEB6" w14:textId="0F3059A0" w:rsidR="002D43E6" w:rsidRPr="00356F51" w:rsidRDefault="00F327A6" w:rsidP="00F327A6">
      <w:r>
        <w:t>C</w:t>
      </w:r>
      <w:r w:rsidR="002D43E6" w:rsidRPr="00356F51">
        <w:t>linical issues that will not be covered:</w:t>
      </w:r>
    </w:p>
    <w:p w14:paraId="22C35EFD" w14:textId="658FD709" w:rsidR="002D43E6" w:rsidRPr="00356F51" w:rsidRDefault="000E5F8C" w:rsidP="00F327A6">
      <w:pPr>
        <w:pStyle w:val="bullets"/>
      </w:pPr>
      <w:r>
        <w:t>c</w:t>
      </w:r>
      <w:r w:rsidR="002D43E6" w:rsidRPr="00356F51">
        <w:t>linical guidelines specifying how healthcare professionals should care for patients</w:t>
      </w:r>
    </w:p>
    <w:p w14:paraId="3C1FE5B4" w14:textId="16BE3AE1" w:rsidR="002D43E6" w:rsidRDefault="000E5F8C" w:rsidP="00F327A6">
      <w:pPr>
        <w:pStyle w:val="bullets"/>
      </w:pPr>
      <w:r>
        <w:t>n</w:t>
      </w:r>
      <w:r w:rsidR="00B5082F">
        <w:t xml:space="preserve">ational </w:t>
      </w:r>
      <w:r w:rsidR="002D43E6" w:rsidRPr="00356F51">
        <w:t>level issues</w:t>
      </w:r>
      <w:r w:rsidR="002D43E6">
        <w:t>.</w:t>
      </w:r>
    </w:p>
    <w:p w14:paraId="7DDB7E86" w14:textId="77777777" w:rsidR="002D43E6" w:rsidRPr="00356F51" w:rsidRDefault="002D43E6" w:rsidP="009A0AC1">
      <w:pPr>
        <w:pStyle w:val="Heading2"/>
      </w:pPr>
      <w:r w:rsidRPr="00356F51">
        <w:t>Introduction</w:t>
      </w:r>
    </w:p>
    <w:p w14:paraId="6891E166" w14:textId="2233358F" w:rsidR="002D43E6" w:rsidRPr="003470B0" w:rsidRDefault="002D43E6" w:rsidP="002D2A98">
      <w:pPr>
        <w:rPr>
          <w:b/>
          <w:bCs/>
        </w:rPr>
      </w:pPr>
      <w:r w:rsidRPr="004A36B8">
        <w:t>Neuroanaesthesia encompasses a wide range of emergency and elective work</w:t>
      </w:r>
      <w:r w:rsidRPr="003470B0">
        <w:t xml:space="preserve">. </w:t>
      </w:r>
      <w:r>
        <w:t>A</w:t>
      </w:r>
      <w:r w:rsidRPr="004A36B8">
        <w:t xml:space="preserve">naesthesia for intracranial oncology, vascular </w:t>
      </w:r>
      <w:r>
        <w:t>and</w:t>
      </w:r>
      <w:r w:rsidRPr="004A36B8">
        <w:t xml:space="preserve"> functional surgery</w:t>
      </w:r>
      <w:r>
        <w:t>, c</w:t>
      </w:r>
      <w:r w:rsidRPr="004A36B8">
        <w:t>omplex spinal surgery,</w:t>
      </w:r>
      <w:r>
        <w:t xml:space="preserve"> as well as</w:t>
      </w:r>
      <w:r w:rsidRPr="004A36B8">
        <w:t xml:space="preserve"> anaesthesia for diagnostic and interventional neuroradiological procedures including MRI scanning</w:t>
      </w:r>
      <w:r>
        <w:t xml:space="preserve"> all lie within the specialty</w:t>
      </w:r>
      <w:r w:rsidRPr="004A36B8">
        <w:t>.</w:t>
      </w:r>
    </w:p>
    <w:p w14:paraId="3F80F6AC" w14:textId="69583D54" w:rsidR="002D43E6" w:rsidRPr="004A36B8" w:rsidRDefault="002D43E6" w:rsidP="002D2A98">
      <w:pPr>
        <w:rPr>
          <w:b/>
          <w:bCs/>
        </w:rPr>
      </w:pPr>
      <w:r w:rsidRPr="004A36B8">
        <w:t xml:space="preserve">Neuroanaesthesia is </w:t>
      </w:r>
      <w:r>
        <w:t>mainly</w:t>
      </w:r>
      <w:r w:rsidRPr="004A36B8">
        <w:t xml:space="preserve"> delivered in neuroscience units</w:t>
      </w:r>
      <w:r>
        <w:t>,</w:t>
      </w:r>
      <w:r w:rsidRPr="004A36B8">
        <w:t xml:space="preserve"> which may be based in specialist centres, teaching hospitals or district general hospitals.</w:t>
      </w:r>
      <w:r>
        <w:t xml:space="preserve"> Neuroanaesthesia input is often required as part of multidisciplinary working in complex head and neck cases.</w:t>
      </w:r>
    </w:p>
    <w:p w14:paraId="5183FE8C" w14:textId="6A7A0A2C" w:rsidR="002D43E6" w:rsidRPr="004A36B8" w:rsidRDefault="002D43E6" w:rsidP="002D2A98">
      <w:pPr>
        <w:rPr>
          <w:b/>
          <w:bCs/>
        </w:rPr>
      </w:pPr>
      <w:r w:rsidRPr="004A36B8">
        <w:t>Service demands on the departments of neuroanaesthesia and</w:t>
      </w:r>
      <w:r w:rsidRPr="0037739C">
        <w:t xml:space="preserve"> neuroanaesthetists</w:t>
      </w:r>
      <w:r>
        <w:t xml:space="preserve"> </w:t>
      </w:r>
      <w:r w:rsidRPr="004A36B8">
        <w:t xml:space="preserve">have changed. Recent developments such as mechanical thrombectomy in the management of ischaemic stroke have the potential to significantly </w:t>
      </w:r>
      <w:r>
        <w:t>increase</w:t>
      </w:r>
      <w:r w:rsidRPr="004A36B8">
        <w:t xml:space="preserve"> service delivery </w:t>
      </w:r>
      <w:r>
        <w:t>requirements</w:t>
      </w:r>
      <w:r w:rsidRPr="004A36B8">
        <w:t xml:space="preserve"> in the future. Staffing departments of neuroanaesthesia and neurocritical care will be influenced by the development of </w:t>
      </w:r>
      <w:r>
        <w:t>i</w:t>
      </w:r>
      <w:r w:rsidRPr="004A36B8">
        <w:t xml:space="preserve">ntensive </w:t>
      </w:r>
      <w:r>
        <w:t>c</w:t>
      </w:r>
      <w:r w:rsidRPr="004A36B8">
        <w:t>are</w:t>
      </w:r>
      <w:r>
        <w:t xml:space="preserve"> medicine as a separate special</w:t>
      </w:r>
      <w:r w:rsidRPr="004A36B8">
        <w:t>ty.</w:t>
      </w:r>
    </w:p>
    <w:p w14:paraId="4FC92770" w14:textId="690F6B92" w:rsidR="002D43E6" w:rsidRDefault="002D43E6" w:rsidP="002D2A98">
      <w:pPr>
        <w:rPr>
          <w:b/>
          <w:bCs/>
        </w:rPr>
      </w:pPr>
      <w:r w:rsidRPr="004A36B8">
        <w:lastRenderedPageBreak/>
        <w:t xml:space="preserve">The recommendations in this chapter aim to provide guidance </w:t>
      </w:r>
      <w:r>
        <w:t xml:space="preserve">for departments of anaesthesia </w:t>
      </w:r>
      <w:r w:rsidRPr="004A36B8">
        <w:t xml:space="preserve">to </w:t>
      </w:r>
      <w:r>
        <w:t xml:space="preserve">help them </w:t>
      </w:r>
      <w:r w:rsidRPr="004A36B8">
        <w:t>ensure adequate and safe service provision of neuroanaesthesia.</w:t>
      </w:r>
      <w:r>
        <w:t xml:space="preserve"> </w:t>
      </w:r>
      <w:r w:rsidRPr="004A36B8">
        <w:t xml:space="preserve"> </w:t>
      </w:r>
    </w:p>
    <w:p w14:paraId="72FAC0B6" w14:textId="6627035E" w:rsidR="002D43E6" w:rsidRPr="00356F51" w:rsidRDefault="002D43E6" w:rsidP="009A0AC1">
      <w:pPr>
        <w:pStyle w:val="Heading2"/>
      </w:pPr>
      <w:r w:rsidRPr="00356F51">
        <w:t>Recommendations</w:t>
      </w:r>
    </w:p>
    <w:p w14:paraId="18BFFBD5" w14:textId="1A96B499" w:rsidR="002D43E6" w:rsidRDefault="002D43E6" w:rsidP="009A5F23">
      <w:r w:rsidRPr="00356F51">
        <w:t>The grade of evidence and the overall strength of each recommendation are tabulated in A</w:t>
      </w:r>
      <w:r w:rsidR="000E5F8C">
        <w:t>ppendix 1</w:t>
      </w:r>
      <w:r w:rsidRPr="00356F51">
        <w:t>.</w:t>
      </w:r>
    </w:p>
    <w:p w14:paraId="182CDBA5" w14:textId="528B1BB7" w:rsidR="002D43E6" w:rsidRPr="00FB1DAA" w:rsidRDefault="002D43E6" w:rsidP="00D97617">
      <w:pPr>
        <w:pStyle w:val="Heading3"/>
        <w:numPr>
          <w:ilvl w:val="0"/>
          <w:numId w:val="1"/>
        </w:numPr>
        <w:ind w:left="567" w:hanging="567"/>
      </w:pPr>
      <w:r w:rsidRPr="00B5082F">
        <w:rPr>
          <w:rStyle w:val="Heading2Char"/>
          <w:b/>
        </w:rPr>
        <w:t>Staffing requirements</w:t>
      </w:r>
      <w:r w:rsidRPr="00FB1DAA">
        <w:rPr>
          <w:rStyle w:val="EndnoteReference"/>
          <w:b w:val="0"/>
          <w:color w:val="auto"/>
          <w:sz w:val="24"/>
        </w:rPr>
        <w:endnoteReference w:id="2"/>
      </w:r>
      <w:r w:rsidRPr="00FB1DAA">
        <w:rPr>
          <w:color w:val="auto"/>
          <w:vertAlign w:val="superscript"/>
        </w:rPr>
        <w:t>,</w:t>
      </w:r>
      <w:r w:rsidRPr="00FB1DAA">
        <w:rPr>
          <w:rStyle w:val="EndnoteReference"/>
          <w:b w:val="0"/>
          <w:color w:val="auto"/>
          <w:sz w:val="24"/>
        </w:rPr>
        <w:endnoteReference w:id="3"/>
      </w:r>
    </w:p>
    <w:p w14:paraId="0BF30470" w14:textId="227910D8" w:rsidR="002D43E6" w:rsidRPr="00356F51" w:rsidRDefault="002D43E6" w:rsidP="00B5082F">
      <w:pPr>
        <w:pStyle w:val="recommendation"/>
      </w:pPr>
      <w:r>
        <w:t>I</w:t>
      </w:r>
      <w:r w:rsidRPr="00356F51">
        <w:t xml:space="preserve">n each hospital providing </w:t>
      </w:r>
      <w:r>
        <w:t>neuroanaesthesia, a</w:t>
      </w:r>
      <w:r w:rsidRPr="00356F51">
        <w:t xml:space="preserve"> </w:t>
      </w:r>
      <w:r w:rsidRPr="00AC56BE">
        <w:t>neuroanaesthetist</w:t>
      </w:r>
      <w:r w:rsidRPr="00356F51">
        <w:t xml:space="preserve"> should be appointed as the </w:t>
      </w:r>
      <w:r w:rsidRPr="00697D0F">
        <w:t>clinical lead</w:t>
      </w:r>
      <w:r w:rsidR="00B5082F" w:rsidRPr="00697D0F">
        <w:t xml:space="preserve"> </w:t>
      </w:r>
      <w:r w:rsidR="00B5082F">
        <w:t xml:space="preserve">(see glossary) </w:t>
      </w:r>
      <w:r w:rsidRPr="00356F51">
        <w:t xml:space="preserve">to manage service delivery. Adequate time for this role should be included in the </w:t>
      </w:r>
      <w:r w:rsidR="00697D0F">
        <w:t>lead</w:t>
      </w:r>
      <w:r w:rsidRPr="00356F51">
        <w:t>’s job plan.</w:t>
      </w:r>
    </w:p>
    <w:p w14:paraId="3B4D5E76" w14:textId="59749C0A" w:rsidR="002D43E6" w:rsidRPr="00356F51" w:rsidRDefault="002D43E6" w:rsidP="00B5082F">
      <w:pPr>
        <w:pStyle w:val="recommendation"/>
      </w:pPr>
      <w:r w:rsidRPr="00356F51">
        <w:t>There should be a</w:t>
      </w:r>
      <w:r>
        <w:t xml:space="preserve"> specified and therefore identifiable</w:t>
      </w:r>
      <w:r w:rsidRPr="00356F51">
        <w:t xml:space="preserve"> group of neuroanaesthetists who cover the neuroanaesthesia service and have sufficient programmed activities to </w:t>
      </w:r>
      <w:r>
        <w:t xml:space="preserve">deliver the </w:t>
      </w:r>
      <w:r w:rsidRPr="00356F51">
        <w:t>elective and emergency</w:t>
      </w:r>
      <w:r>
        <w:t xml:space="preserve"> service</w:t>
      </w:r>
      <w:r w:rsidRPr="00FD31FA">
        <w:t>.</w:t>
      </w:r>
      <w:bookmarkStart w:id="2" w:name="_Ref433968977"/>
      <w:r w:rsidRPr="00FD31FA">
        <w:rPr>
          <w:vertAlign w:val="superscript"/>
        </w:rPr>
        <w:endnoteReference w:id="4"/>
      </w:r>
      <w:bookmarkEnd w:id="2"/>
    </w:p>
    <w:p w14:paraId="1E3AFE30" w14:textId="0E0F26B3" w:rsidR="002D43E6" w:rsidRPr="00356F51" w:rsidRDefault="002D43E6" w:rsidP="00B5082F">
      <w:pPr>
        <w:pStyle w:val="recommendation"/>
      </w:pPr>
      <w:r w:rsidRPr="00356F51">
        <w:t xml:space="preserve">An appropriately trained and experienced anaesthetist should be present for all neurosurgical operating lists and interventional neuroradiology sessions, with sufficient </w:t>
      </w:r>
      <w:r w:rsidRPr="00E75834">
        <w:t>consultant-programmed</w:t>
      </w:r>
      <w:r w:rsidRPr="00356F51">
        <w:t xml:space="preserve"> activities to provide adequate supervision and support to trainee anaesthetists and SAS anaesthetists. </w:t>
      </w:r>
    </w:p>
    <w:p w14:paraId="58364763" w14:textId="15AFC4E5" w:rsidR="002D43E6" w:rsidRPr="00356F51" w:rsidRDefault="002D43E6" w:rsidP="00B5082F">
      <w:pPr>
        <w:pStyle w:val="recommendation"/>
      </w:pPr>
      <w:r w:rsidRPr="00356F51">
        <w:t>Adequate anaesthetic cover should be available to provide general anaesthesia and sedation for diagnostic radiology sessions, including computed tomography (CT) and magnetic resonance imaging (MRI) scans.</w:t>
      </w:r>
    </w:p>
    <w:p w14:paraId="355D7389" w14:textId="1318BA57" w:rsidR="002D43E6" w:rsidRPr="00FF02E8" w:rsidRDefault="002D43E6" w:rsidP="00B5082F">
      <w:pPr>
        <w:pStyle w:val="recommendation"/>
      </w:pPr>
      <w:r w:rsidRPr="00FF02E8">
        <w:t>Hospitals should have well</w:t>
      </w:r>
      <w:r w:rsidR="00B70B1B">
        <w:t xml:space="preserve"> </w:t>
      </w:r>
      <w:r w:rsidRPr="00FF02E8">
        <w:t xml:space="preserve">integrated arrangements that ensure anaesthetists </w:t>
      </w:r>
      <w:r>
        <w:t>covering</w:t>
      </w:r>
      <w:r w:rsidRPr="00FF02E8">
        <w:t xml:space="preserve"> long neurosurgical procedures or overrunning lists are regularly relieved by a</w:t>
      </w:r>
      <w:r>
        <w:t xml:space="preserve">n appropriate colleague </w:t>
      </w:r>
      <w:r w:rsidRPr="00FF02E8">
        <w:t>for refreshment and comfort breaks</w:t>
      </w:r>
      <w:r>
        <w:t>.</w:t>
      </w:r>
      <w:r w:rsidRPr="00FD31FA">
        <w:rPr>
          <w:vertAlign w:val="superscript"/>
        </w:rPr>
        <w:endnoteReference w:id="5"/>
      </w:r>
      <w:r w:rsidRPr="00FF02E8">
        <w:rPr>
          <w:vertAlign w:val="superscript"/>
        </w:rPr>
        <w:t>,</w:t>
      </w:r>
      <w:r w:rsidRPr="00FD31FA">
        <w:rPr>
          <w:rStyle w:val="EndnoteReference"/>
          <w:rFonts w:asciiTheme="minorHAnsi" w:hAnsiTheme="minorHAnsi"/>
        </w:rPr>
        <w:endnoteReference w:id="6"/>
      </w:r>
      <w:r>
        <w:rPr>
          <w:vertAlign w:val="superscript"/>
        </w:rPr>
        <w:t>,</w:t>
      </w:r>
      <w:r>
        <w:rPr>
          <w:rStyle w:val="EndnoteReference"/>
          <w:rFonts w:asciiTheme="minorHAnsi" w:hAnsiTheme="minorHAnsi"/>
        </w:rPr>
        <w:endnoteReference w:id="7"/>
      </w:r>
    </w:p>
    <w:p w14:paraId="08D12DF5" w14:textId="18060C8A" w:rsidR="002D43E6" w:rsidRPr="00350A50" w:rsidRDefault="002D43E6" w:rsidP="00B5082F">
      <w:pPr>
        <w:pStyle w:val="recommendation"/>
        <w:rPr>
          <w:rFonts w:eastAsia="Century Gothic" w:cs="Century Gothic"/>
        </w:rPr>
      </w:pPr>
      <w:r w:rsidRPr="00350A50">
        <w:t>An appropriately skilled and experienced resident anaesthetist should be available at all times to care for postoperative and emergency patients. The experience and skills necessary to provide this cover are not usually found in training grades below ST3.</w:t>
      </w:r>
    </w:p>
    <w:p w14:paraId="5BDCD815" w14:textId="77777777" w:rsidR="002D43E6" w:rsidRPr="00356F51" w:rsidRDefault="002D43E6" w:rsidP="00B5082F">
      <w:pPr>
        <w:pStyle w:val="recommendation"/>
      </w:pPr>
      <w:r>
        <w:t>Out</w:t>
      </w:r>
      <w:r w:rsidRPr="00356F51">
        <w:t xml:space="preserve"> of hours, </w:t>
      </w:r>
      <w:r w:rsidRPr="00E75834">
        <w:t>consultants s</w:t>
      </w:r>
      <w:r w:rsidRPr="00356F51">
        <w:t xml:space="preserve">hould be immediately available </w:t>
      </w:r>
      <w:r>
        <w:t>by</w:t>
      </w:r>
      <w:r w:rsidRPr="00356F51">
        <w:t xml:space="preserve"> telephone </w:t>
      </w:r>
      <w:r>
        <w:t xml:space="preserve">for </w:t>
      </w:r>
      <w:r w:rsidRPr="00356F51">
        <w:t>advice and be able to attend the hospital within 30 minutes.</w:t>
      </w:r>
      <w:r>
        <w:t xml:space="preserve"> Suitably skilled and experienced theatre staff should also be available.</w:t>
      </w:r>
    </w:p>
    <w:p w14:paraId="425A93CA" w14:textId="417D4CE2" w:rsidR="002D43E6" w:rsidRPr="00356F51" w:rsidRDefault="002D43E6" w:rsidP="00B5082F">
      <w:pPr>
        <w:pStyle w:val="recommendation"/>
      </w:pPr>
      <w:r w:rsidRPr="00356F51">
        <w:t xml:space="preserve">If </w:t>
      </w:r>
      <w:r w:rsidRPr="00E75834">
        <w:t>the consultant</w:t>
      </w:r>
      <w:r w:rsidRPr="00356F51">
        <w:t xml:space="preserve"> on</w:t>
      </w:r>
      <w:r>
        <w:t xml:space="preserve"> </w:t>
      </w:r>
      <w:r w:rsidRPr="00356F51">
        <w:t>call is not a neuroanaesthetist</w:t>
      </w:r>
      <w:r>
        <w:t>,</w:t>
      </w:r>
      <w:r w:rsidRPr="00356F51">
        <w:t xml:space="preserve"> there should be a clear</w:t>
      </w:r>
      <w:r>
        <w:t xml:space="preserve">ly defined and understood </w:t>
      </w:r>
      <w:r w:rsidRPr="00356F51">
        <w:t xml:space="preserve">process </w:t>
      </w:r>
      <w:r>
        <w:t>for the provision of</w:t>
      </w:r>
      <w:r w:rsidRPr="00356F51">
        <w:t xml:space="preserve"> specialist advice from neuroanaesthesia </w:t>
      </w:r>
      <w:r>
        <w:t>colleagues</w:t>
      </w:r>
      <w:r w:rsidRPr="00CF71E3">
        <w:rPr>
          <w:rFonts w:eastAsiaTheme="minorEastAsia" w:cstheme="minorBidi"/>
          <w:lang w:eastAsia="en-US"/>
        </w:rPr>
        <w:t>.</w:t>
      </w:r>
      <w:r>
        <w:rPr>
          <w:rFonts w:eastAsiaTheme="minorEastAsia" w:cstheme="minorBidi"/>
          <w:lang w:eastAsia="en-US"/>
        </w:rPr>
        <w:t xml:space="preserve"> Where possible, local arrangements should be considered to facilitate this telephone advice in non-neuroscience centres when required.</w:t>
      </w:r>
    </w:p>
    <w:p w14:paraId="27E49762" w14:textId="695F0FE6" w:rsidR="002D43E6" w:rsidRPr="00356F51" w:rsidRDefault="002D43E6" w:rsidP="00B5082F">
      <w:pPr>
        <w:pStyle w:val="recommendation"/>
      </w:pPr>
      <w:r w:rsidRPr="00356F51">
        <w:t xml:space="preserve">Departments that participate in </w:t>
      </w:r>
      <w:r>
        <w:t xml:space="preserve">national </w:t>
      </w:r>
      <w:r w:rsidRPr="00356F51">
        <w:t>initiatives</w:t>
      </w:r>
      <w:r>
        <w:t>,</w:t>
      </w:r>
      <w:r w:rsidRPr="00356F51">
        <w:t xml:space="preserve"> </w:t>
      </w:r>
      <w:r w:rsidR="00FB1DAA">
        <w:t>e</w:t>
      </w:r>
      <w:r w:rsidR="00E75834">
        <w:t>.</w:t>
      </w:r>
      <w:r w:rsidR="00FB1DAA">
        <w:t>g</w:t>
      </w:r>
      <w:r w:rsidR="00E75834">
        <w:t>.</w:t>
      </w:r>
      <w:r>
        <w:t xml:space="preserve"> </w:t>
      </w:r>
      <w:r w:rsidRPr="00356F51">
        <w:t>services for thrombectomy</w:t>
      </w:r>
      <w:r>
        <w:t>,</w:t>
      </w:r>
      <w:r w:rsidRPr="00356F51">
        <w:t xml:space="preserve"> should review their staffing arrangements to ensure timely emergency cover.</w:t>
      </w:r>
      <w:r w:rsidRPr="00356F51">
        <w:rPr>
          <w:rStyle w:val="EndnoteReference"/>
          <w:rFonts w:asciiTheme="minorHAnsi" w:hAnsiTheme="minorHAnsi"/>
        </w:rPr>
        <w:endnoteReference w:id="8"/>
      </w:r>
      <w:r w:rsidRPr="00356F51">
        <w:rPr>
          <w:rStyle w:val="EndnoteReference"/>
          <w:rFonts w:asciiTheme="minorHAnsi" w:hAnsiTheme="minorHAnsi"/>
        </w:rPr>
        <w:t>,</w:t>
      </w:r>
      <w:r w:rsidRPr="00356F51">
        <w:rPr>
          <w:rStyle w:val="EndnoteReference"/>
          <w:rFonts w:asciiTheme="minorHAnsi" w:hAnsiTheme="minorHAnsi"/>
        </w:rPr>
        <w:endnoteReference w:id="9"/>
      </w:r>
      <w:r w:rsidRPr="00356F51">
        <w:t xml:space="preserve"> Planning for such services should include increased anaesthetic service requirements.</w:t>
      </w:r>
    </w:p>
    <w:p w14:paraId="07904CC4" w14:textId="21C75EDE" w:rsidR="002D43E6" w:rsidRPr="00356F51" w:rsidRDefault="002D43E6" w:rsidP="00B5082F">
      <w:pPr>
        <w:pStyle w:val="recommendation"/>
      </w:pPr>
      <w:r w:rsidRPr="00356F51">
        <w:t>Anaesthetic assistants</w:t>
      </w:r>
      <w:r w:rsidRPr="002D2BC4">
        <w:t xml:space="preserve"> should</w:t>
      </w:r>
      <w:r w:rsidRPr="00356F51">
        <w:t xml:space="preserve"> be appropriately skilled </w:t>
      </w:r>
      <w:r>
        <w:t>and have</w:t>
      </w:r>
      <w:r w:rsidRPr="00356F51">
        <w:t xml:space="preserve"> </w:t>
      </w:r>
      <w:r>
        <w:t xml:space="preserve">up to date </w:t>
      </w:r>
      <w:r w:rsidRPr="00356F51">
        <w:t>experience in neuroanaesthesia.</w:t>
      </w:r>
    </w:p>
    <w:p w14:paraId="45DDBD97" w14:textId="7226933B" w:rsidR="002D43E6" w:rsidRPr="00356F51" w:rsidRDefault="002D43E6" w:rsidP="00B5082F">
      <w:pPr>
        <w:pStyle w:val="recommendation"/>
      </w:pPr>
      <w:r w:rsidRPr="00356F51">
        <w:t>All post</w:t>
      </w:r>
      <w:r w:rsidR="00B5082F">
        <w:t xml:space="preserve"> </w:t>
      </w:r>
      <w:r w:rsidRPr="00356F51">
        <w:t xml:space="preserve">anaesthetic recovery staff looking after neuroscience patients should be </w:t>
      </w:r>
      <w:r>
        <w:t xml:space="preserve">able to recognise and describe </w:t>
      </w:r>
      <w:r w:rsidRPr="00356F51">
        <w:t xml:space="preserve">complications </w:t>
      </w:r>
      <w:r w:rsidRPr="00EA4F4C">
        <w:t>following neuroanaesthesia and possess skills to obtain multidisciplinary assistance and escalate treatment according to departmental protocols and guidance</w:t>
      </w:r>
      <w:r w:rsidRPr="00CF71E3">
        <w:t xml:space="preserve">. </w:t>
      </w:r>
    </w:p>
    <w:p w14:paraId="66BF2125" w14:textId="34FBF0F0" w:rsidR="002D43E6" w:rsidRDefault="002D43E6" w:rsidP="00B5082F">
      <w:pPr>
        <w:pStyle w:val="recommendation"/>
      </w:pPr>
      <w:r>
        <w:lastRenderedPageBreak/>
        <w:t>Where departments use post</w:t>
      </w:r>
      <w:r w:rsidR="00B70B1B">
        <w:t xml:space="preserve"> </w:t>
      </w:r>
      <w:r w:rsidRPr="00356F51">
        <w:t xml:space="preserve">anaesthetic recovery units </w:t>
      </w:r>
      <w:r w:rsidR="00B70B1B">
        <w:t xml:space="preserve">for extended recovery, the post </w:t>
      </w:r>
      <w:r w:rsidRPr="00356F51">
        <w:t xml:space="preserve">anaesthetic recovery staff caring for those patients should have the competencies to manage Level 2 critical care patients and there should be a registered nurse/patient ratio of </w:t>
      </w:r>
      <w:r w:rsidRPr="00BC7D43">
        <w:rPr>
          <w:rFonts w:eastAsia="Times New Roman" w:cs="Times New Roman"/>
        </w:rPr>
        <w:t>1:2,</w:t>
      </w:r>
      <w:r w:rsidRPr="00CF71E3">
        <w:t xml:space="preserve"> </w:t>
      </w:r>
      <w:r w:rsidRPr="00356F51">
        <w:t>as in a Level 2 critical care unit.</w:t>
      </w:r>
      <w:r w:rsidRPr="00356F51">
        <w:rPr>
          <w:rStyle w:val="EndnoteReference"/>
        </w:rPr>
        <w:endnoteReference w:id="10"/>
      </w:r>
      <w:r>
        <w:t xml:space="preserve"> Departments should have procedures in place to demonstrate the </w:t>
      </w:r>
      <w:r w:rsidRPr="00881C98">
        <w:t>adequacy of medical cover for such extended recovery units.</w:t>
      </w:r>
    </w:p>
    <w:p w14:paraId="4D6779BC" w14:textId="15EC1EBD" w:rsidR="002D43E6" w:rsidRPr="00131913" w:rsidRDefault="002D43E6" w:rsidP="00D97617">
      <w:pPr>
        <w:pStyle w:val="Heading3"/>
        <w:numPr>
          <w:ilvl w:val="0"/>
          <w:numId w:val="1"/>
        </w:numPr>
        <w:ind w:left="567" w:hanging="567"/>
        <w:rPr>
          <w:color w:val="CD6084" w:themeColor="accent5"/>
          <w:sz w:val="24"/>
        </w:rPr>
      </w:pPr>
      <w:r w:rsidRPr="00131913">
        <w:rPr>
          <w:color w:val="CD6084" w:themeColor="accent5"/>
          <w:sz w:val="24"/>
        </w:rPr>
        <w:t>Equipment, services and facilities</w:t>
      </w:r>
    </w:p>
    <w:p w14:paraId="15B5ED5A" w14:textId="0E1D7EFC" w:rsidR="002D43E6" w:rsidRPr="00356F51" w:rsidRDefault="002D43E6" w:rsidP="0033370C">
      <w:pPr>
        <w:rPr>
          <w:i/>
        </w:rPr>
      </w:pPr>
      <w:r w:rsidRPr="00356F51">
        <w:t xml:space="preserve">General equipment, services and facilities for anaesthesia are described in </w:t>
      </w:r>
      <w:hyperlink r:id="rId13" w:history="1">
        <w:r w:rsidRPr="00BD2DDD">
          <w:rPr>
            <w:rStyle w:val="Hyperlink"/>
            <w:sz w:val="20"/>
          </w:rPr>
          <w:t>chapters 2–5</w:t>
        </w:r>
      </w:hyperlink>
      <w:r w:rsidRPr="00356F51">
        <w:t>. Specialised</w:t>
      </w:r>
      <w:r w:rsidRPr="00356F51">
        <w:rPr>
          <w:i/>
        </w:rPr>
        <w:t xml:space="preserve"> </w:t>
      </w:r>
      <w:r w:rsidRPr="00356F51">
        <w:t>recommendations for neuroanaesthesia are given below.</w:t>
      </w:r>
    </w:p>
    <w:p w14:paraId="7F5F572E" w14:textId="77777777" w:rsidR="002D43E6" w:rsidRPr="00356F51" w:rsidRDefault="002D43E6" w:rsidP="00DC2142">
      <w:pPr>
        <w:pStyle w:val="Heading3"/>
      </w:pPr>
      <w:r w:rsidRPr="00492FD7">
        <w:t>Equipment</w:t>
      </w:r>
    </w:p>
    <w:p w14:paraId="07A0767A" w14:textId="53C00B5C" w:rsidR="002D43E6" w:rsidRDefault="002D43E6" w:rsidP="00D97617">
      <w:pPr>
        <w:pStyle w:val="recommendation"/>
        <w:numPr>
          <w:ilvl w:val="1"/>
          <w:numId w:val="1"/>
        </w:numPr>
        <w:ind w:left="567" w:hanging="567"/>
      </w:pPr>
      <w:r w:rsidRPr="00356F51">
        <w:t>Specific equipment for difficult airway management should be available.</w:t>
      </w:r>
    </w:p>
    <w:p w14:paraId="31EDD60D" w14:textId="69518586" w:rsidR="002D43E6" w:rsidRPr="00356F51" w:rsidRDefault="002D43E6" w:rsidP="00D97617">
      <w:pPr>
        <w:pStyle w:val="recommendation"/>
        <w:numPr>
          <w:ilvl w:val="1"/>
          <w:numId w:val="1"/>
        </w:numPr>
        <w:ind w:left="567" w:hanging="567"/>
      </w:pPr>
      <w:r>
        <w:t>Units should have access to ultra</w:t>
      </w:r>
      <w:r w:rsidR="005438ED">
        <w:t xml:space="preserve"> </w:t>
      </w:r>
      <w:r>
        <w:t>short act</w:t>
      </w:r>
      <w:r w:rsidR="005438ED">
        <w:t xml:space="preserve">ing opioids with stable context </w:t>
      </w:r>
      <w:r>
        <w:t xml:space="preserve">sensitive half times deliverable by infusion </w:t>
      </w:r>
      <w:r w:rsidR="008B3FFF" w:rsidRPr="008B3FFF">
        <w:t xml:space="preserve">a software accommodating a range of appropriate pharmacokinetic (PK) models </w:t>
      </w:r>
      <w:r>
        <w:t>to permit intraoperative cardiostability, smooth emergence from anaesthesia and rapid and accurate postoperative neurological assessment.</w:t>
      </w:r>
    </w:p>
    <w:p w14:paraId="0C397F40" w14:textId="393ACAC0" w:rsidR="002D43E6" w:rsidRPr="00356F51" w:rsidRDefault="002D43E6" w:rsidP="00D97617">
      <w:pPr>
        <w:pStyle w:val="recommendation"/>
        <w:numPr>
          <w:ilvl w:val="1"/>
          <w:numId w:val="1"/>
        </w:numPr>
        <w:ind w:left="567" w:hanging="567"/>
      </w:pPr>
      <w:r w:rsidRPr="00356F51">
        <w:t xml:space="preserve">Equipment to comply with </w:t>
      </w:r>
      <w:r w:rsidR="00C158A8">
        <w:t>Association of Anaesthetists</w:t>
      </w:r>
      <w:r w:rsidRPr="00356F51">
        <w:t xml:space="preserve"> standards for anaesthetic monitoring should be available.</w:t>
      </w:r>
      <w:r w:rsidRPr="00356F51">
        <w:rPr>
          <w:rStyle w:val="EndnoteReference"/>
          <w:rFonts w:asciiTheme="minorHAnsi" w:hAnsiTheme="minorHAnsi"/>
        </w:rPr>
        <w:endnoteReference w:id="11"/>
      </w:r>
      <w:r w:rsidRPr="00356F51">
        <w:t xml:space="preserve"> </w:t>
      </w:r>
    </w:p>
    <w:p w14:paraId="14D37B84" w14:textId="7E3E4BC6" w:rsidR="002D43E6" w:rsidRPr="00356F51" w:rsidRDefault="002D43E6" w:rsidP="00D97617">
      <w:pPr>
        <w:pStyle w:val="recommendation"/>
        <w:numPr>
          <w:ilvl w:val="1"/>
          <w:numId w:val="1"/>
        </w:numPr>
        <w:ind w:left="567" w:hanging="567"/>
      </w:pPr>
      <w:r w:rsidRPr="00356F51">
        <w:t>Depth of anaesthesia monitoring</w:t>
      </w:r>
      <w:r>
        <w:t>,</w:t>
      </w:r>
      <w:r w:rsidRPr="00356F51">
        <w:t xml:space="preserve"> including processed electroencephalography (EEG) monitors</w:t>
      </w:r>
      <w:r>
        <w:t>,</w:t>
      </w:r>
      <w:r w:rsidRPr="00356F51">
        <w:t xml:space="preserve"> should be available intraoperatively and for transfer</w:t>
      </w:r>
      <w:r>
        <w:t>.</w:t>
      </w:r>
      <w:r w:rsidRPr="00881C98">
        <w:rPr>
          <w:rStyle w:val="EndnoteReference"/>
          <w:rFonts w:asciiTheme="minorHAnsi" w:hAnsiTheme="minorHAnsi"/>
        </w:rPr>
        <w:endnoteReference w:id="12"/>
      </w:r>
      <w:r w:rsidRPr="00356F51">
        <w:t xml:space="preserve"> </w:t>
      </w:r>
    </w:p>
    <w:p w14:paraId="10363273" w14:textId="77777777" w:rsidR="002D43E6" w:rsidRPr="00356F51" w:rsidRDefault="002D43E6" w:rsidP="00D97617">
      <w:pPr>
        <w:pStyle w:val="recommendation"/>
        <w:numPr>
          <w:ilvl w:val="1"/>
          <w:numId w:val="1"/>
        </w:numPr>
        <w:ind w:left="567" w:hanging="567"/>
      </w:pPr>
      <w:r w:rsidRPr="00356F51">
        <w:t xml:space="preserve">Monitoring equipment to detect air embolism and catheters for air aspiration should be available. The use of </w:t>
      </w:r>
      <w:r w:rsidRPr="002D2BC4">
        <w:rPr>
          <w:rFonts w:eastAsia="Arial Unicode MS" w:cs="Times New Roman"/>
          <w:szCs w:val="24"/>
          <w:bdr w:val="nil"/>
          <w:lang w:eastAsia="en-US"/>
        </w:rPr>
        <w:t>multiorifice catheters</w:t>
      </w:r>
      <w:r w:rsidRPr="00356F51">
        <w:t xml:space="preserve"> should</w:t>
      </w:r>
      <w:r>
        <w:t xml:space="preserve"> also</w:t>
      </w:r>
      <w:r w:rsidRPr="00356F51">
        <w:t xml:space="preserve"> be considered.</w:t>
      </w:r>
      <w:bookmarkStart w:id="3" w:name="_Ref493679109"/>
      <w:r w:rsidRPr="00356F51">
        <w:rPr>
          <w:rStyle w:val="EndnoteReference"/>
          <w:rFonts w:asciiTheme="minorHAnsi" w:hAnsiTheme="minorHAnsi"/>
        </w:rPr>
        <w:endnoteReference w:id="13"/>
      </w:r>
      <w:bookmarkEnd w:id="3"/>
    </w:p>
    <w:p w14:paraId="0A3A21CC" w14:textId="5243CB6D" w:rsidR="002D43E6" w:rsidRPr="00356F51" w:rsidRDefault="002D43E6" w:rsidP="00D97617">
      <w:pPr>
        <w:pStyle w:val="recommendation"/>
        <w:numPr>
          <w:ilvl w:val="1"/>
          <w:numId w:val="1"/>
        </w:numPr>
        <w:ind w:left="567" w:hanging="567"/>
      </w:pPr>
      <w:r w:rsidRPr="002D2BC4">
        <w:rPr>
          <w:rFonts w:eastAsiaTheme="minorEastAsia"/>
          <w:lang w:eastAsia="en-US"/>
        </w:rPr>
        <w:t>Those units conducting functional neurosurgery or surgery for correction of scoliosis</w:t>
      </w:r>
      <w:r w:rsidRPr="003C441B">
        <w:rPr>
          <w:rFonts w:eastAsiaTheme="minorEastAsia"/>
          <w:lang w:eastAsia="en-US"/>
        </w:rPr>
        <w:t>, other relevant spinal surgery, or su</w:t>
      </w:r>
      <w:r w:rsidR="00E75834">
        <w:rPr>
          <w:rFonts w:eastAsiaTheme="minorEastAsia"/>
          <w:lang w:eastAsia="en-US"/>
        </w:rPr>
        <w:t xml:space="preserve">rgery for some cranial lesions, </w:t>
      </w:r>
      <w:r w:rsidR="00FB1DAA">
        <w:rPr>
          <w:rFonts w:eastAsiaTheme="minorEastAsia"/>
          <w:lang w:eastAsia="en-US"/>
        </w:rPr>
        <w:t>e</w:t>
      </w:r>
      <w:r w:rsidR="00E75834">
        <w:rPr>
          <w:rFonts w:eastAsiaTheme="minorEastAsia"/>
          <w:lang w:eastAsia="en-US"/>
        </w:rPr>
        <w:t>.</w:t>
      </w:r>
      <w:r w:rsidR="00FB1DAA">
        <w:rPr>
          <w:rFonts w:eastAsiaTheme="minorEastAsia"/>
          <w:lang w:eastAsia="en-US"/>
        </w:rPr>
        <w:t>g</w:t>
      </w:r>
      <w:r w:rsidR="00E75834">
        <w:rPr>
          <w:rFonts w:eastAsiaTheme="minorEastAsia"/>
          <w:lang w:eastAsia="en-US"/>
        </w:rPr>
        <w:t>.</w:t>
      </w:r>
      <w:r w:rsidRPr="003C441B">
        <w:rPr>
          <w:rFonts w:eastAsiaTheme="minorEastAsia"/>
          <w:lang w:eastAsia="en-US"/>
        </w:rPr>
        <w:t xml:space="preserve"> cerebellopontine angle tumo</w:t>
      </w:r>
      <w:r>
        <w:rPr>
          <w:rFonts w:eastAsiaTheme="minorEastAsia"/>
          <w:lang w:eastAsia="en-US"/>
        </w:rPr>
        <w:t>u</w:t>
      </w:r>
      <w:r w:rsidR="00E75834">
        <w:rPr>
          <w:rFonts w:eastAsiaTheme="minorEastAsia"/>
          <w:lang w:eastAsia="en-US"/>
        </w:rPr>
        <w:t>rs,</w:t>
      </w:r>
      <w:r w:rsidRPr="002D2BC4">
        <w:rPr>
          <w:rFonts w:eastAsiaTheme="minorEastAsia"/>
          <w:lang w:eastAsia="en-US"/>
        </w:rPr>
        <w:t xml:space="preserve"> should have the appropriate equipment and adequate num</w:t>
      </w:r>
      <w:r w:rsidR="00B5082F">
        <w:rPr>
          <w:rFonts w:eastAsiaTheme="minorEastAsia"/>
          <w:lang w:eastAsia="en-US"/>
        </w:rPr>
        <w:t>bers of trained staff for intra</w:t>
      </w:r>
      <w:r w:rsidRPr="002D2BC4">
        <w:rPr>
          <w:rFonts w:eastAsiaTheme="minorEastAsia"/>
          <w:lang w:eastAsia="en-US"/>
        </w:rPr>
        <w:t>operative neurophysiological testing.</w:t>
      </w:r>
      <w:r>
        <w:rPr>
          <w:rFonts w:eastAsiaTheme="minorEastAsia"/>
          <w:lang w:eastAsia="en-US"/>
        </w:rPr>
        <w:t xml:space="preserve"> </w:t>
      </w:r>
      <w:r w:rsidRPr="00356F51">
        <w:t>Neuroanaesthetists should be aware of the implications of this testing for anaesthesia including blood pressure management</w:t>
      </w:r>
      <w:r w:rsidRPr="003C441B">
        <w:t xml:space="preserve">, use of neuromuscular blockade, </w:t>
      </w:r>
      <w:r w:rsidRPr="00356F51">
        <w:t xml:space="preserve">and the use of </w:t>
      </w:r>
      <w:r>
        <w:t>t</w:t>
      </w:r>
      <w:r w:rsidRPr="00392C97">
        <w:t>ota</w:t>
      </w:r>
      <w:r>
        <w:t>l intravenous anaesthesia (TIVA)</w:t>
      </w:r>
      <w:r w:rsidRPr="00356F51">
        <w:t>.</w:t>
      </w:r>
      <w:r w:rsidRPr="00FB1E96">
        <w:rPr>
          <w:vertAlign w:val="superscript"/>
        </w:rPr>
        <w:fldChar w:fldCharType="begin"/>
      </w:r>
      <w:r w:rsidRPr="00FB1E96">
        <w:rPr>
          <w:vertAlign w:val="superscript"/>
        </w:rPr>
        <w:instrText xml:space="preserve"> NOTEREF _Ref493679109 \h </w:instrText>
      </w:r>
      <w:r>
        <w:rPr>
          <w:vertAlign w:val="superscript"/>
        </w:rPr>
        <w:instrText xml:space="preserve"> \* MERGEFORMAT </w:instrText>
      </w:r>
      <w:r w:rsidRPr="00FB1E96">
        <w:rPr>
          <w:vertAlign w:val="superscript"/>
        </w:rPr>
      </w:r>
      <w:r w:rsidRPr="00FB1E96">
        <w:rPr>
          <w:vertAlign w:val="superscript"/>
        </w:rPr>
        <w:fldChar w:fldCharType="separate"/>
      </w:r>
      <w:r>
        <w:rPr>
          <w:vertAlign w:val="superscript"/>
        </w:rPr>
        <w:t>13</w:t>
      </w:r>
      <w:r w:rsidRPr="00FB1E96">
        <w:rPr>
          <w:vertAlign w:val="superscript"/>
        </w:rPr>
        <w:fldChar w:fldCharType="end"/>
      </w:r>
      <w:r>
        <w:rPr>
          <w:rStyle w:val="EndnoteReference"/>
          <w:rFonts w:asciiTheme="minorHAnsi" w:hAnsiTheme="minorHAnsi"/>
        </w:rPr>
        <w:t>,</w:t>
      </w:r>
      <w:r w:rsidRPr="00356F51">
        <w:rPr>
          <w:rStyle w:val="EndnoteReference"/>
          <w:rFonts w:asciiTheme="minorHAnsi" w:hAnsiTheme="minorHAnsi"/>
        </w:rPr>
        <w:endnoteReference w:id="14"/>
      </w:r>
    </w:p>
    <w:p w14:paraId="732F558A" w14:textId="5B4FC1F7" w:rsidR="002D43E6" w:rsidRDefault="002D43E6" w:rsidP="00D97617">
      <w:pPr>
        <w:pStyle w:val="recommendation"/>
        <w:numPr>
          <w:ilvl w:val="1"/>
          <w:numId w:val="1"/>
        </w:numPr>
        <w:spacing w:after="120"/>
        <w:ind w:left="567" w:hanging="567"/>
      </w:pPr>
      <w:r w:rsidRPr="00356F51">
        <w:t xml:space="preserve">Equipment for </w:t>
      </w:r>
      <w:r>
        <w:t>safe</w:t>
      </w:r>
      <w:r w:rsidRPr="00356F51">
        <w:t xml:space="preserve"> positioning of patients with a wide range of body habitus</w:t>
      </w:r>
      <w:r>
        <w:t xml:space="preserve"> should </w:t>
      </w:r>
      <w:r w:rsidRPr="009C6630">
        <w:rPr>
          <w:rFonts w:eastAsia="Arial Unicode MS" w:cs="Times New Roman"/>
          <w:szCs w:val="24"/>
          <w:bdr w:val="nil"/>
          <w:lang w:eastAsia="en-US"/>
        </w:rPr>
        <w:t>include:</w:t>
      </w:r>
      <w:r>
        <w:rPr>
          <w:rFonts w:eastAsia="Arial Unicode MS" w:cs="Times New Roman"/>
          <w:szCs w:val="24"/>
          <w:bdr w:val="nil"/>
          <w:lang w:eastAsia="en-US"/>
        </w:rPr>
        <w:t xml:space="preserve"> </w:t>
      </w:r>
      <w:r w:rsidRPr="009C6630">
        <w:t xml:space="preserve"> </w:t>
      </w:r>
    </w:p>
    <w:p w14:paraId="79F18571" w14:textId="4E30B21B" w:rsidR="002D43E6" w:rsidRDefault="000E5F8C" w:rsidP="00B5082F">
      <w:pPr>
        <w:pStyle w:val="bullet2"/>
      </w:pPr>
      <w:r>
        <w:t>a</w:t>
      </w:r>
      <w:r w:rsidR="002D43E6" w:rsidRPr="00356F51">
        <w:t>ppropriate</w:t>
      </w:r>
      <w:r w:rsidR="002D43E6">
        <w:t xml:space="preserve"> </w:t>
      </w:r>
      <w:r w:rsidR="002D43E6" w:rsidRPr="00356F51">
        <w:t>sized mattresses</w:t>
      </w:r>
    </w:p>
    <w:p w14:paraId="4199390F" w14:textId="14D6077D" w:rsidR="002D43E6" w:rsidRDefault="000E5F8C" w:rsidP="00B5082F">
      <w:pPr>
        <w:pStyle w:val="bullet2"/>
      </w:pPr>
      <w:r>
        <w:t>p</w:t>
      </w:r>
      <w:r w:rsidR="002D43E6" w:rsidRPr="00356F51">
        <w:t>ositioning aids</w:t>
      </w:r>
      <w:r w:rsidR="002D43E6">
        <w:t xml:space="preserve"> to minimise risk of eye injury, nerve injury</w:t>
      </w:r>
      <w:r w:rsidR="00E75834">
        <w:t xml:space="preserve"> as well as skin damage, </w:t>
      </w:r>
      <w:r w:rsidR="00FB1DAA">
        <w:t>e</w:t>
      </w:r>
      <w:r w:rsidR="00E75834">
        <w:t>.</w:t>
      </w:r>
      <w:r w:rsidR="00FB1DAA">
        <w:t>g</w:t>
      </w:r>
      <w:r w:rsidR="00E75834">
        <w:t>.</w:t>
      </w:r>
      <w:r w:rsidR="002D43E6" w:rsidRPr="00881C98">
        <w:t xml:space="preserve"> </w:t>
      </w:r>
      <w:r w:rsidR="002D43E6">
        <w:t>p</w:t>
      </w:r>
      <w:r w:rsidR="002D43E6" w:rsidRPr="00881C98">
        <w:t>ressure sores</w:t>
      </w:r>
      <w:r w:rsidR="00E75834">
        <w:t>,</w:t>
      </w:r>
      <w:r w:rsidR="002D43E6" w:rsidRPr="00881C98">
        <w:t xml:space="preserve"> during potentially prolonged</w:t>
      </w:r>
      <w:r w:rsidR="002D43E6">
        <w:t xml:space="preserve"> </w:t>
      </w:r>
      <w:r w:rsidR="002D43E6" w:rsidRPr="00881C98">
        <w:t>operations</w:t>
      </w:r>
      <w:r w:rsidR="002D43E6">
        <w:rPr>
          <w:rStyle w:val="CommentReference"/>
          <w:rFonts w:cs="Calibri"/>
          <w:sz w:val="22"/>
          <w:szCs w:val="22"/>
        </w:rPr>
        <w:t xml:space="preserve"> </w:t>
      </w:r>
    </w:p>
    <w:p w14:paraId="2E2EDBC7" w14:textId="60488772" w:rsidR="002D43E6" w:rsidRPr="00356F51" w:rsidRDefault="000E5F8C" w:rsidP="00B5082F">
      <w:pPr>
        <w:pStyle w:val="bullet2"/>
        <w:spacing w:after="200"/>
      </w:pPr>
      <w:r>
        <w:t>f</w:t>
      </w:r>
      <w:r w:rsidR="002D43E6" w:rsidRPr="00356F51">
        <w:t>ixings</w:t>
      </w:r>
      <w:r w:rsidR="002D43E6">
        <w:t xml:space="preserve"> to prevent accidental movement during the procedure.</w:t>
      </w:r>
    </w:p>
    <w:p w14:paraId="56B22746" w14:textId="77777777" w:rsidR="002D43E6" w:rsidRPr="00356F51" w:rsidRDefault="002D43E6" w:rsidP="00D97617">
      <w:pPr>
        <w:pStyle w:val="recommendation"/>
        <w:numPr>
          <w:ilvl w:val="1"/>
          <w:numId w:val="1"/>
        </w:numPr>
        <w:ind w:left="567" w:hanging="567"/>
      </w:pPr>
      <w:r w:rsidRPr="00356F51">
        <w:t xml:space="preserve">Equipment to monitor patient temperature and </w:t>
      </w:r>
      <w:r>
        <w:t xml:space="preserve">to provide </w:t>
      </w:r>
      <w:r w:rsidRPr="00356F51">
        <w:t xml:space="preserve">targeted temperature management should be </w:t>
      </w:r>
      <w:r>
        <w:t>available</w:t>
      </w:r>
      <w:r w:rsidRPr="00CF71E3">
        <w:rPr>
          <w:rFonts w:eastAsiaTheme="minorEastAsia" w:cstheme="minorBidi"/>
          <w:lang w:eastAsia="en-US"/>
        </w:rPr>
        <w:t>.</w:t>
      </w:r>
      <w:r>
        <w:rPr>
          <w:rStyle w:val="EndnoteReference"/>
          <w:rFonts w:eastAsiaTheme="minorEastAsia" w:cstheme="minorBidi"/>
          <w:lang w:eastAsia="en-US"/>
        </w:rPr>
        <w:endnoteReference w:id="15"/>
      </w:r>
    </w:p>
    <w:p w14:paraId="0B999B4C" w14:textId="11D02088" w:rsidR="002D43E6" w:rsidRPr="009C6630" w:rsidRDefault="002D43E6" w:rsidP="00D97617">
      <w:pPr>
        <w:pStyle w:val="recommendation"/>
        <w:numPr>
          <w:ilvl w:val="1"/>
          <w:numId w:val="1"/>
        </w:numPr>
        <w:ind w:left="567" w:hanging="567"/>
      </w:pPr>
      <w:r w:rsidRPr="009C6630">
        <w:t xml:space="preserve">Availability of a cell salvage system should be considered for procedures associated with a risk of blood loss exceeding </w:t>
      </w:r>
      <w:r w:rsidRPr="000E5F8C">
        <w:t>25%</w:t>
      </w:r>
      <w:r w:rsidRPr="000E5F8C">
        <w:rPr>
          <w:rFonts w:eastAsia="Arial Unicode MS" w:cs="Times New Roman"/>
          <w:bdr w:val="nil"/>
          <w:lang w:eastAsia="en-US"/>
        </w:rPr>
        <w:t xml:space="preserve"> of </w:t>
      </w:r>
      <w:r w:rsidRPr="000E5F8C">
        <w:t>circulating</w:t>
      </w:r>
      <w:r w:rsidRPr="009C6630">
        <w:t xml:space="preserve"> volume.</w:t>
      </w:r>
      <w:r w:rsidRPr="00356F51">
        <w:rPr>
          <w:rStyle w:val="EndnoteReference"/>
          <w:rFonts w:asciiTheme="minorHAnsi" w:hAnsiTheme="minorHAnsi"/>
        </w:rPr>
        <w:endnoteReference w:id="16"/>
      </w:r>
      <w:r>
        <w:rPr>
          <w:vertAlign w:val="superscript"/>
        </w:rPr>
        <w:t>,</w:t>
      </w:r>
      <w:bookmarkStart w:id="4" w:name="_Ref512412985"/>
      <w:r>
        <w:rPr>
          <w:rStyle w:val="EndnoteReference"/>
          <w:rFonts w:asciiTheme="minorHAnsi" w:hAnsiTheme="minorHAnsi"/>
        </w:rPr>
        <w:endnoteReference w:id="17"/>
      </w:r>
      <w:bookmarkEnd w:id="4"/>
      <w:r w:rsidRPr="009C6630">
        <w:t xml:space="preserve"> Staff who operate this</w:t>
      </w:r>
      <w:r>
        <w:t xml:space="preserve"> </w:t>
      </w:r>
      <w:r w:rsidRPr="009C6630">
        <w:t>equipment should receive training in how to operate it and frequently use it to maintain their skills.</w:t>
      </w:r>
    </w:p>
    <w:p w14:paraId="1EE7778C" w14:textId="2332334F" w:rsidR="002D43E6" w:rsidRPr="00492FD7" w:rsidRDefault="002D43E6" w:rsidP="00B5082F">
      <w:pPr>
        <w:pStyle w:val="Heading3"/>
      </w:pPr>
      <w:r w:rsidRPr="00492FD7">
        <w:t>Support services</w:t>
      </w:r>
    </w:p>
    <w:p w14:paraId="30E1ED88" w14:textId="241A7B3D" w:rsidR="002D43E6" w:rsidRPr="00356F51" w:rsidRDefault="00B5082F" w:rsidP="00D97617">
      <w:pPr>
        <w:pStyle w:val="recommendation"/>
        <w:numPr>
          <w:ilvl w:val="1"/>
          <w:numId w:val="1"/>
        </w:numPr>
        <w:ind w:left="567" w:hanging="567"/>
      </w:pPr>
      <w:r>
        <w:t xml:space="preserve">There should be same </w:t>
      </w:r>
      <w:r w:rsidR="002D43E6" w:rsidRPr="00356F51">
        <w:t>day availability of echocardiography</w:t>
      </w:r>
      <w:r w:rsidR="002D43E6">
        <w:t xml:space="preserve"> investigations, </w:t>
      </w:r>
      <w:r w:rsidR="002D43E6" w:rsidRPr="00356F51">
        <w:t>including echo and ultrasound scanning.</w:t>
      </w:r>
    </w:p>
    <w:p w14:paraId="666252AB" w14:textId="5EF74585" w:rsidR="002D43E6" w:rsidRDefault="002D43E6" w:rsidP="00D97617">
      <w:pPr>
        <w:pStyle w:val="recommendation"/>
        <w:numPr>
          <w:ilvl w:val="1"/>
          <w:numId w:val="1"/>
        </w:numPr>
        <w:ind w:left="567" w:hanging="567"/>
      </w:pPr>
      <w:r>
        <w:t>N</w:t>
      </w:r>
      <w:r w:rsidRPr="00356F51">
        <w:t xml:space="preserve">euroradiology support should be </w:t>
      </w:r>
      <w:r>
        <w:t>available</w:t>
      </w:r>
      <w:r w:rsidRPr="00356F51">
        <w:t xml:space="preserve"> 24</w:t>
      </w:r>
      <w:r>
        <w:t xml:space="preserve">/7 </w:t>
      </w:r>
      <w:r w:rsidRPr="00356F51">
        <w:t xml:space="preserve">for interpretation of neuroimaging. </w:t>
      </w:r>
    </w:p>
    <w:p w14:paraId="4F32E0DF" w14:textId="601029BD" w:rsidR="002D43E6" w:rsidRPr="00154119" w:rsidRDefault="002D43E6" w:rsidP="00D97617">
      <w:pPr>
        <w:pStyle w:val="recommendation"/>
        <w:numPr>
          <w:ilvl w:val="1"/>
          <w:numId w:val="1"/>
        </w:numPr>
        <w:ind w:left="567" w:hanging="567"/>
      </w:pPr>
      <w:r w:rsidRPr="00154119">
        <w:lastRenderedPageBreak/>
        <w:t>In hospitals with dedicated neuroanaesthesia service there should be dedicated neurology input available.</w:t>
      </w:r>
    </w:p>
    <w:p w14:paraId="650A6946" w14:textId="28491CAC" w:rsidR="002D43E6" w:rsidRPr="00356F51" w:rsidRDefault="002D43E6" w:rsidP="00D97617">
      <w:pPr>
        <w:pStyle w:val="recommendation"/>
        <w:numPr>
          <w:ilvl w:val="1"/>
          <w:numId w:val="1"/>
        </w:numPr>
        <w:ind w:left="567" w:hanging="567"/>
      </w:pPr>
      <w:r w:rsidRPr="00356F51">
        <w:t xml:space="preserve">Online imaging results from referring hospitals and within the neuroscience centre should be available locally, and consideration should be given to the provision of remote access for all </w:t>
      </w:r>
      <w:r w:rsidR="00E75834">
        <w:t>anaesthetists</w:t>
      </w:r>
      <w:r w:rsidRPr="00356F51">
        <w:t xml:space="preserve"> who provide cover to neuroanaesthesia out of hours.</w:t>
      </w:r>
    </w:p>
    <w:p w14:paraId="5B7585A2" w14:textId="15AA572D" w:rsidR="002D43E6" w:rsidRPr="00356F51" w:rsidRDefault="002D43E6" w:rsidP="00D97617">
      <w:pPr>
        <w:pStyle w:val="recommendation"/>
        <w:numPr>
          <w:ilvl w:val="1"/>
          <w:numId w:val="1"/>
        </w:numPr>
        <w:ind w:left="567" w:hanging="567"/>
      </w:pPr>
      <w:r w:rsidRPr="00356F51">
        <w:t>T</w:t>
      </w:r>
      <w:r w:rsidR="00A877BF">
        <w:t>here should be on</w:t>
      </w:r>
      <w:r w:rsidRPr="00356F51">
        <w:t xml:space="preserve">site laboratory provision, or </w:t>
      </w:r>
      <w:r w:rsidR="00F327A6">
        <w:t>near patient</w:t>
      </w:r>
      <w:r w:rsidRPr="00356F51">
        <w:t xml:space="preserve"> testing, for blood gases, serum electrolytes, </w:t>
      </w:r>
      <w:r w:rsidR="00A877BF" w:rsidRPr="00A877BF">
        <w:t>platelet function assay</w:t>
      </w:r>
      <w:r w:rsidR="008B3FFF">
        <w:t>,</w:t>
      </w:r>
      <w:r w:rsidR="00A877BF" w:rsidRPr="00A877BF">
        <w:t xml:space="preserve"> </w:t>
      </w:r>
      <w:r w:rsidRPr="00356F51">
        <w:t>activated clotting time and thromboelastography, to allow safe management of patients in the operating theatre.</w:t>
      </w:r>
      <w:r w:rsidR="00930A52">
        <w:rPr>
          <w:rStyle w:val="EndnoteReference"/>
          <w:rFonts w:asciiTheme="minorHAnsi" w:hAnsiTheme="minorHAnsi"/>
        </w:rPr>
        <w:endnoteReference w:id="18"/>
      </w:r>
    </w:p>
    <w:p w14:paraId="46948493" w14:textId="77777777" w:rsidR="002D43E6" w:rsidRDefault="002D43E6" w:rsidP="00D97617">
      <w:pPr>
        <w:pStyle w:val="recommendation"/>
        <w:numPr>
          <w:ilvl w:val="1"/>
          <w:numId w:val="1"/>
        </w:numPr>
        <w:ind w:left="567" w:hanging="567"/>
      </w:pPr>
      <w:r w:rsidRPr="00356F51">
        <w:t>Rapid access to other biochemical and haematological investigations and blood transfusion should be provided.</w:t>
      </w:r>
    </w:p>
    <w:p w14:paraId="4AAEC462" w14:textId="6F0C7232" w:rsidR="002D43E6" w:rsidRPr="00492FD7" w:rsidRDefault="002D43E6" w:rsidP="00B5082F">
      <w:pPr>
        <w:pStyle w:val="Heading3"/>
      </w:pPr>
      <w:r w:rsidRPr="00492FD7">
        <w:t>Facilities</w:t>
      </w:r>
    </w:p>
    <w:p w14:paraId="2DB0BA4C" w14:textId="66AAFFC1" w:rsidR="002D43E6" w:rsidRPr="00B5082F" w:rsidRDefault="002D43E6" w:rsidP="00D97617">
      <w:pPr>
        <w:pStyle w:val="recommendation"/>
        <w:numPr>
          <w:ilvl w:val="1"/>
          <w:numId w:val="1"/>
        </w:numPr>
        <w:ind w:left="567" w:hanging="567"/>
        <w:rPr>
          <w:i/>
        </w:rPr>
      </w:pPr>
      <w:r w:rsidRPr="00B5082F">
        <w:t>Transfer times between the procedure room and intensive care should be minimised. In new buildings, this may be achieved by having theatres, the intensive care unit and radiological facilities within close proximity and preferably on the same floor. An integrated approach should be taken when planning new facilities.</w:t>
      </w:r>
      <w:r w:rsidR="00930A52" w:rsidRPr="00B5082F">
        <w:rPr>
          <w:rStyle w:val="EndnoteReference"/>
        </w:rPr>
        <w:endnoteReference w:id="19"/>
      </w:r>
    </w:p>
    <w:p w14:paraId="6FE7AF27" w14:textId="1BE9C586" w:rsidR="002D43E6" w:rsidRPr="00B5082F" w:rsidRDefault="002D43E6" w:rsidP="00D97617">
      <w:pPr>
        <w:pStyle w:val="recommendation"/>
        <w:numPr>
          <w:ilvl w:val="1"/>
          <w:numId w:val="1"/>
        </w:numPr>
        <w:ind w:left="567" w:hanging="567"/>
        <w:rPr>
          <w:i/>
        </w:rPr>
      </w:pPr>
      <w:r w:rsidRPr="00B5082F">
        <w:t>Adequate provision should be made for monitoring patients during such transfer</w:t>
      </w:r>
      <w:bookmarkStart w:id="5" w:name="_Ref495673535"/>
      <w:r w:rsidRPr="00B5082F">
        <w:t>.</w:t>
      </w:r>
      <w:bookmarkEnd w:id="5"/>
      <w:r w:rsidRPr="00B5082F">
        <w:t xml:space="preserve"> Current evidence is supportive of the use of processed EEG (pEEG) monitoring where neuromuscular blocking agents are in use, although the limitations of current technology may hamper this.</w:t>
      </w:r>
      <w:r w:rsidR="00C41FFC" w:rsidRPr="00B5082F">
        <w:rPr>
          <w:i/>
          <w:vertAlign w:val="superscript"/>
        </w:rPr>
        <w:fldChar w:fldCharType="begin"/>
      </w:r>
      <w:r w:rsidR="00C41FFC" w:rsidRPr="00B5082F">
        <w:rPr>
          <w:vertAlign w:val="superscript"/>
        </w:rPr>
        <w:instrText xml:space="preserve"> NOTEREF _Ref512412985 \h  \* MERGEFORMAT </w:instrText>
      </w:r>
      <w:r w:rsidR="00C41FFC" w:rsidRPr="00B5082F">
        <w:rPr>
          <w:i/>
          <w:vertAlign w:val="superscript"/>
        </w:rPr>
      </w:r>
      <w:r w:rsidR="00C41FFC" w:rsidRPr="00B5082F">
        <w:rPr>
          <w:i/>
          <w:vertAlign w:val="superscript"/>
        </w:rPr>
        <w:fldChar w:fldCharType="separate"/>
      </w:r>
      <w:r w:rsidR="00C41FFC" w:rsidRPr="00B5082F">
        <w:rPr>
          <w:vertAlign w:val="superscript"/>
        </w:rPr>
        <w:t>17</w:t>
      </w:r>
      <w:r w:rsidR="00C41FFC" w:rsidRPr="00B5082F">
        <w:rPr>
          <w:i/>
          <w:vertAlign w:val="superscript"/>
        </w:rPr>
        <w:fldChar w:fldCharType="end"/>
      </w:r>
      <w:r w:rsidRPr="00B5082F">
        <w:rPr>
          <w:vertAlign w:val="superscript"/>
        </w:rPr>
        <w:t>,</w:t>
      </w:r>
      <w:bookmarkStart w:id="6" w:name="_Ref499203298"/>
      <w:r w:rsidRPr="00B5082F">
        <w:rPr>
          <w:rStyle w:val="EndnoteReference"/>
        </w:rPr>
        <w:endnoteReference w:id="20"/>
      </w:r>
      <w:bookmarkEnd w:id="6"/>
      <w:r w:rsidRPr="00B5082F">
        <w:rPr>
          <w:rFonts w:eastAsiaTheme="minorEastAsia"/>
          <w:bCs/>
          <w:vertAlign w:val="superscript"/>
        </w:rPr>
        <w:t xml:space="preserve"> </w:t>
      </w:r>
    </w:p>
    <w:p w14:paraId="6BE8E295" w14:textId="48AE89F2" w:rsidR="00492FD7" w:rsidRPr="00A877BF" w:rsidRDefault="002D43E6" w:rsidP="00D97617">
      <w:pPr>
        <w:pStyle w:val="recommendation"/>
        <w:numPr>
          <w:ilvl w:val="1"/>
          <w:numId w:val="1"/>
        </w:numPr>
        <w:ind w:left="567" w:hanging="567"/>
        <w:rPr>
          <w:b/>
          <w:i/>
          <w:vertAlign w:val="superscript"/>
        </w:rPr>
      </w:pPr>
      <w:r w:rsidRPr="00B5082F">
        <w:t xml:space="preserve">Postoperative recovery facilities, with appropriately trained staff and equipment, should be available to all </w:t>
      </w:r>
      <w:r w:rsidRPr="00B5082F">
        <w:rPr>
          <w:rFonts w:eastAsiaTheme="minorEastAsia" w:cstheme="minorBidi"/>
        </w:rPr>
        <w:t xml:space="preserve">neurosurgical and neuroradiological </w:t>
      </w:r>
      <w:r w:rsidRPr="00B5082F">
        <w:t>patients undergoing surgery, both elective and emergency.</w:t>
      </w:r>
      <w:r w:rsidRPr="00B5082F">
        <w:rPr>
          <w:rStyle w:val="EndnoteReference"/>
        </w:rPr>
        <w:endnoteReference w:id="21"/>
      </w:r>
      <w:r w:rsidRPr="00A877BF">
        <w:rPr>
          <w:rFonts w:eastAsiaTheme="minorEastAsia"/>
          <w:b/>
          <w:vertAlign w:val="superscript"/>
        </w:rPr>
        <w:t xml:space="preserve"> </w:t>
      </w:r>
    </w:p>
    <w:p w14:paraId="343F0E5E" w14:textId="79D71DCB" w:rsidR="002D43E6" w:rsidRPr="00131913" w:rsidRDefault="002D43E6" w:rsidP="00D97617">
      <w:pPr>
        <w:pStyle w:val="Heading3"/>
        <w:numPr>
          <w:ilvl w:val="0"/>
          <w:numId w:val="1"/>
        </w:numPr>
        <w:ind w:left="567" w:hanging="567"/>
        <w:rPr>
          <w:color w:val="CD6084" w:themeColor="accent5"/>
          <w:sz w:val="24"/>
        </w:rPr>
      </w:pPr>
      <w:r w:rsidRPr="00131913">
        <w:rPr>
          <w:color w:val="CD6084" w:themeColor="accent5"/>
          <w:sz w:val="24"/>
        </w:rPr>
        <w:t>Areas of special requirement</w:t>
      </w:r>
    </w:p>
    <w:p w14:paraId="7216F952" w14:textId="77777777" w:rsidR="002D43E6" w:rsidRPr="00492FD7" w:rsidRDefault="002D43E6" w:rsidP="00DC2142">
      <w:pPr>
        <w:pStyle w:val="Heading3"/>
      </w:pPr>
      <w:r w:rsidRPr="00492FD7">
        <w:t>Children</w:t>
      </w:r>
    </w:p>
    <w:p w14:paraId="7667C26F" w14:textId="654BF2B6" w:rsidR="002D43E6" w:rsidRPr="00356F51" w:rsidRDefault="002D43E6" w:rsidP="0033370C">
      <w:pPr>
        <w:spacing w:after="120"/>
        <w:ind w:left="-11"/>
      </w:pPr>
      <w:r w:rsidRPr="00356F51">
        <w:t xml:space="preserve">General recommendations for children’s services are described </w:t>
      </w:r>
      <w:r w:rsidRPr="00F327A6">
        <w:t xml:space="preserve">in </w:t>
      </w:r>
      <w:hyperlink r:id="rId14" w:history="1">
        <w:r w:rsidR="00B5082F" w:rsidRPr="00BD2DDD">
          <w:rPr>
            <w:rStyle w:val="Hyperlink"/>
            <w:sz w:val="20"/>
          </w:rPr>
          <w:t>c</w:t>
        </w:r>
        <w:r w:rsidR="00E75834" w:rsidRPr="00BD2DDD">
          <w:rPr>
            <w:rStyle w:val="Hyperlink"/>
            <w:sz w:val="20"/>
          </w:rPr>
          <w:t>hapter 10</w:t>
        </w:r>
      </w:hyperlink>
      <w:r w:rsidRPr="00F327A6">
        <w:t>.</w:t>
      </w:r>
    </w:p>
    <w:p w14:paraId="059B2213" w14:textId="6ACB884E" w:rsidR="002D43E6" w:rsidRPr="00356F51" w:rsidRDefault="002D43E6" w:rsidP="00D97617">
      <w:pPr>
        <w:pStyle w:val="recommendation"/>
        <w:numPr>
          <w:ilvl w:val="1"/>
          <w:numId w:val="1"/>
        </w:numPr>
        <w:ind w:left="567" w:hanging="567"/>
      </w:pPr>
      <w:r w:rsidRPr="00356F51">
        <w:t>Whether in a dedicated paediatric neurosurgical unit or not, every child requiring elective neurosurgery should have care delivered by an anaesthetist or anaesthetists who possess the relevant competencies as demanded by th</w:t>
      </w:r>
      <w:r>
        <w:t>e patient’s age, disease and co</w:t>
      </w:r>
      <w:r w:rsidRPr="00356F51">
        <w:t xml:space="preserve">morbidities. </w:t>
      </w:r>
    </w:p>
    <w:p w14:paraId="2B76EF39" w14:textId="0C9C69FA" w:rsidR="002D43E6" w:rsidRPr="00356F51" w:rsidRDefault="002D43E6" w:rsidP="00D97617">
      <w:pPr>
        <w:pStyle w:val="recommendation"/>
        <w:numPr>
          <w:ilvl w:val="1"/>
          <w:numId w:val="1"/>
        </w:numPr>
        <w:ind w:left="567" w:hanging="567"/>
      </w:pPr>
      <w:r w:rsidRPr="00356F51">
        <w:t xml:space="preserve">New appointees to </w:t>
      </w:r>
      <w:r w:rsidRPr="00E75834">
        <w:t>consultant</w:t>
      </w:r>
      <w:r w:rsidRPr="00356F51">
        <w:t xml:space="preserve"> po</w:t>
      </w:r>
      <w:r w:rsidR="003C51BF">
        <w:t xml:space="preserve">sts with a significant or whole </w:t>
      </w:r>
      <w:r w:rsidRPr="00356F51">
        <w:t xml:space="preserve">time interest in paediatric neuroanaesthesia should have successfully completed Advanced Level training in paediatric anaesthesia as defined in the </w:t>
      </w:r>
      <w:r w:rsidRPr="007446CE">
        <w:t>certificate of completion of training</w:t>
      </w:r>
      <w:r w:rsidRPr="00356F51">
        <w:t xml:space="preserve"> </w:t>
      </w:r>
      <w:r>
        <w:t>(</w:t>
      </w:r>
      <w:r w:rsidRPr="00356F51">
        <w:t>CCT</w:t>
      </w:r>
      <w:r>
        <w:t>)</w:t>
      </w:r>
      <w:r w:rsidRPr="00356F51">
        <w:t xml:space="preserve"> in anaesthesia.</w:t>
      </w:r>
      <w:r w:rsidRPr="00356F51">
        <w:rPr>
          <w:rStyle w:val="EndnoteReference"/>
          <w:rFonts w:asciiTheme="minorHAnsi" w:hAnsiTheme="minorHAnsi"/>
        </w:rPr>
        <w:endnoteReference w:id="22"/>
      </w:r>
    </w:p>
    <w:p w14:paraId="0CC419A7" w14:textId="77777777" w:rsidR="002D43E6" w:rsidRDefault="002D43E6" w:rsidP="00D97617">
      <w:pPr>
        <w:pStyle w:val="recommendation"/>
        <w:numPr>
          <w:ilvl w:val="1"/>
          <w:numId w:val="1"/>
        </w:numPr>
        <w:ind w:left="567" w:hanging="567"/>
      </w:pPr>
      <w:r w:rsidRPr="0026001C">
        <w:t>Paediatric and neuroscience centres should consider partnering to help each maintain expertise of the other area.</w:t>
      </w:r>
    </w:p>
    <w:p w14:paraId="5A18DB22" w14:textId="5A5107E4" w:rsidR="002D43E6" w:rsidRPr="0026001C" w:rsidRDefault="002D43E6" w:rsidP="00D97617">
      <w:pPr>
        <w:pStyle w:val="recommendation"/>
        <w:numPr>
          <w:ilvl w:val="1"/>
          <w:numId w:val="1"/>
        </w:numPr>
        <w:ind w:left="567" w:hanging="567"/>
      </w:pPr>
      <w:r w:rsidRPr="0026001C">
        <w:t xml:space="preserve">In a true emergency situation involving a child requiring urgent neurosurgery for a deteriorating </w:t>
      </w:r>
      <w:r w:rsidR="000C7102">
        <w:t xml:space="preserve">condition admitted to an ‘adult </w:t>
      </w:r>
      <w:r w:rsidRPr="0026001C">
        <w:t>only’ neurosurgical service, the most appropriate surgeon, anaesthetist and intensivist available wo</w:t>
      </w:r>
      <w:r w:rsidR="00B5082F">
        <w:t xml:space="preserve">uld be expected to provide life </w:t>
      </w:r>
      <w:r w:rsidRPr="0026001C">
        <w:t>saving care, including emergency resuscitation and surgery.</w:t>
      </w:r>
      <w:bookmarkStart w:id="7" w:name="_Ref433969699"/>
      <w:r w:rsidRPr="0026001C">
        <w:rPr>
          <w:vertAlign w:val="superscript"/>
        </w:rPr>
        <w:t xml:space="preserve"> </w:t>
      </w:r>
      <w:r w:rsidRPr="0026001C">
        <w:rPr>
          <w:vertAlign w:val="superscript"/>
        </w:rPr>
        <w:endnoteReference w:id="23"/>
      </w:r>
      <w:bookmarkEnd w:id="7"/>
    </w:p>
    <w:p w14:paraId="069B7B6D" w14:textId="77777777" w:rsidR="002D43E6" w:rsidRPr="0026001C" w:rsidRDefault="002D43E6" w:rsidP="00D97617">
      <w:pPr>
        <w:pStyle w:val="recommendation"/>
        <w:numPr>
          <w:ilvl w:val="1"/>
          <w:numId w:val="1"/>
        </w:numPr>
        <w:ind w:left="567" w:hanging="567"/>
      </w:pPr>
      <w:r w:rsidRPr="0026001C">
        <w:t>Equipment and accessories appropriate for the age and size of any patient should be available and maintained in accordance with manufacturers' recommendations.</w:t>
      </w:r>
    </w:p>
    <w:p w14:paraId="15DAB06F" w14:textId="77777777" w:rsidR="002D43E6" w:rsidRPr="00356F51" w:rsidRDefault="002D43E6" w:rsidP="00D97617">
      <w:pPr>
        <w:pStyle w:val="recommendation"/>
        <w:numPr>
          <w:ilvl w:val="1"/>
          <w:numId w:val="1"/>
        </w:numPr>
        <w:ind w:left="567" w:hanging="567"/>
      </w:pPr>
      <w:r>
        <w:t>Appropriate</w:t>
      </w:r>
      <w:r w:rsidRPr="00356F51">
        <w:t xml:space="preserve"> neurocritical care </w:t>
      </w:r>
      <w:r>
        <w:t xml:space="preserve">facilities </w:t>
      </w:r>
      <w:r w:rsidRPr="00356F51">
        <w:t xml:space="preserve">should be </w:t>
      </w:r>
      <w:r>
        <w:t>available for all children</w:t>
      </w:r>
      <w:r w:rsidRPr="00356F51">
        <w:t>.</w:t>
      </w:r>
    </w:p>
    <w:p w14:paraId="01AF4FC5" w14:textId="77777777" w:rsidR="002D43E6" w:rsidRPr="00492FD7" w:rsidRDefault="002D43E6" w:rsidP="00131913">
      <w:pPr>
        <w:pStyle w:val="Heading3"/>
      </w:pPr>
      <w:r w:rsidRPr="00492FD7">
        <w:lastRenderedPageBreak/>
        <w:t xml:space="preserve">Critically ill patients </w:t>
      </w:r>
    </w:p>
    <w:p w14:paraId="3D93E9F2" w14:textId="5CBC9739" w:rsidR="000E5F8C" w:rsidRDefault="002D43E6" w:rsidP="0033370C">
      <w:pPr>
        <w:spacing w:after="120"/>
        <w:ind w:left="-11"/>
      </w:pPr>
      <w:r w:rsidRPr="00356F51">
        <w:t xml:space="preserve">Many patients who undergo neurosurgery will be cared for pre or postoperatively in a critical care setting. Many neuroanaesthetists also work in neurocritical care settings. The provision of neurocritical care in a critical care setting is </w:t>
      </w:r>
      <w:r>
        <w:t>outside</w:t>
      </w:r>
      <w:r w:rsidRPr="00356F51">
        <w:t xml:space="preserve"> the scope of this chapter and is described in the Faculty of Intensive Care Medicine and Intensive Care Society 201</w:t>
      </w:r>
      <w:r w:rsidR="00B5082F">
        <w:t>6</w:t>
      </w:r>
      <w:r w:rsidRPr="00356F51">
        <w:t xml:space="preserve"> publication, </w:t>
      </w:r>
      <w:r w:rsidRPr="00496E03">
        <w:rPr>
          <w:i/>
        </w:rPr>
        <w:t>Guidelines for the provision of intensive care services</w:t>
      </w:r>
      <w:r w:rsidRPr="00356F51">
        <w:t>.</w:t>
      </w:r>
      <w:r w:rsidRPr="00496E03">
        <w:rPr>
          <w:vertAlign w:val="superscript"/>
        </w:rPr>
        <w:t>1</w:t>
      </w:r>
      <w:r w:rsidRPr="00356F51">
        <w:t xml:space="preserve"> </w:t>
      </w:r>
      <w:r>
        <w:t>N</w:t>
      </w:r>
      <w:r w:rsidRPr="00356F51">
        <w:t xml:space="preserve">eurocritical care should commence in theatre, </w:t>
      </w:r>
      <w:r>
        <w:t>therefore</w:t>
      </w:r>
      <w:r w:rsidRPr="00356F51">
        <w:t xml:space="preserve"> standard operating protocols for invasive lines, monitoring and tracheal tubes should reflect local critical care </w:t>
      </w:r>
      <w:r w:rsidRPr="009C6630">
        <w:rPr>
          <w:rFonts w:eastAsia="Arial Unicode MS" w:cs="Times New Roman"/>
          <w:szCs w:val="24"/>
          <w:bdr w:val="nil"/>
        </w:rPr>
        <w:t>policy</w:t>
      </w:r>
      <w:r w:rsidRPr="009C6630">
        <w:rPr>
          <w:rFonts w:ascii="Times New Roman" w:eastAsia="Arial Unicode MS" w:hAnsi="Times New Roman" w:cs="Times New Roman"/>
          <w:sz w:val="24"/>
          <w:szCs w:val="24"/>
          <w:bdr w:val="nil"/>
        </w:rPr>
        <w:t>.</w:t>
      </w:r>
      <w:r w:rsidRPr="00EE5DA8">
        <w:t xml:space="preserve"> </w:t>
      </w:r>
      <w:r w:rsidRPr="00EE5DA8">
        <w:rPr>
          <w:rFonts w:eastAsia="Arial Unicode MS" w:cs="Times New Roman"/>
          <w:szCs w:val="24"/>
          <w:bdr w:val="nil"/>
        </w:rPr>
        <w:t xml:space="preserve">Departments of </w:t>
      </w:r>
      <w:r>
        <w:rPr>
          <w:rFonts w:eastAsia="Arial Unicode MS" w:cs="Times New Roman"/>
          <w:szCs w:val="24"/>
          <w:bdr w:val="nil"/>
        </w:rPr>
        <w:t>e</w:t>
      </w:r>
      <w:r w:rsidRPr="00EE5DA8">
        <w:rPr>
          <w:rFonts w:eastAsia="Arial Unicode MS" w:cs="Times New Roman"/>
          <w:szCs w:val="24"/>
          <w:bdr w:val="nil"/>
        </w:rPr>
        <w:t>mergency medicine may also wish to adopt these standard operating procedures</w:t>
      </w:r>
      <w:r w:rsidRPr="00EE5DA8">
        <w:t>.</w:t>
      </w:r>
    </w:p>
    <w:p w14:paraId="6E82B74A" w14:textId="77777777" w:rsidR="002D43E6" w:rsidRPr="00356F51" w:rsidRDefault="002D43E6" w:rsidP="00DC2142">
      <w:pPr>
        <w:pStyle w:val="Heading3"/>
      </w:pPr>
      <w:r w:rsidRPr="00492FD7">
        <w:t>MRI</w:t>
      </w:r>
    </w:p>
    <w:p w14:paraId="27BE8294" w14:textId="63422EAD" w:rsidR="002D43E6" w:rsidRPr="00F327A6" w:rsidRDefault="002D43E6" w:rsidP="0033370C">
      <w:r w:rsidRPr="00356F51">
        <w:t xml:space="preserve">Recommendations on the provision of anaesthesia services for imaging services are comprehensively described </w:t>
      </w:r>
      <w:r w:rsidRPr="00F327A6">
        <w:t xml:space="preserve">in </w:t>
      </w:r>
      <w:hyperlink r:id="rId15" w:history="1">
        <w:r w:rsidR="00A877BF" w:rsidRPr="00BD2DDD">
          <w:rPr>
            <w:rStyle w:val="Hyperlink"/>
            <w:sz w:val="20"/>
            <w:szCs w:val="20"/>
          </w:rPr>
          <w:t>c</w:t>
        </w:r>
        <w:r w:rsidRPr="00BD2DDD">
          <w:rPr>
            <w:rStyle w:val="Hyperlink"/>
            <w:sz w:val="20"/>
            <w:szCs w:val="20"/>
          </w:rPr>
          <w:t>hapter 7</w:t>
        </w:r>
      </w:hyperlink>
      <w:r w:rsidRPr="00F327A6">
        <w:rPr>
          <w:szCs w:val="20"/>
        </w:rPr>
        <w:t>.</w:t>
      </w:r>
    </w:p>
    <w:p w14:paraId="52A4226F" w14:textId="64ABFF69" w:rsidR="002D43E6" w:rsidRPr="00492FD7" w:rsidRDefault="002D43E6" w:rsidP="00DC2142">
      <w:pPr>
        <w:pStyle w:val="Heading3"/>
      </w:pPr>
      <w:r w:rsidRPr="00492FD7">
        <w:t>Pregnant neurosurgical patients</w:t>
      </w:r>
    </w:p>
    <w:p w14:paraId="57312145" w14:textId="7210A9F0" w:rsidR="00A61E7E" w:rsidRDefault="002D43E6" w:rsidP="00A877BF">
      <w:pPr>
        <w:spacing w:after="240"/>
      </w:pPr>
      <w:r w:rsidRPr="00356F51">
        <w:t xml:space="preserve">Recommendations on the provision of anaesthesia services for the obstetric population are comprehensively </w:t>
      </w:r>
      <w:r w:rsidRPr="00F327A6">
        <w:t xml:space="preserve">described in </w:t>
      </w:r>
      <w:hyperlink r:id="rId16" w:history="1">
        <w:r w:rsidR="00A877BF" w:rsidRPr="00BD2DDD">
          <w:rPr>
            <w:rStyle w:val="Hyperlink"/>
            <w:sz w:val="20"/>
            <w:szCs w:val="20"/>
          </w:rPr>
          <w:t>c</w:t>
        </w:r>
        <w:r w:rsidRPr="00BD2DDD">
          <w:rPr>
            <w:rStyle w:val="Hyperlink"/>
            <w:sz w:val="20"/>
            <w:szCs w:val="20"/>
          </w:rPr>
          <w:t>hapter 5</w:t>
        </w:r>
      </w:hyperlink>
      <w:r w:rsidR="00A877BF" w:rsidRPr="00F327A6">
        <w:rPr>
          <w:szCs w:val="20"/>
        </w:rPr>
        <w:t>,</w:t>
      </w:r>
      <w:r w:rsidR="00A877BF" w:rsidRPr="00F327A6">
        <w:t xml:space="preserve"> s</w:t>
      </w:r>
      <w:r w:rsidRPr="00F327A6">
        <w:t xml:space="preserve">ection 3. </w:t>
      </w:r>
    </w:p>
    <w:p w14:paraId="44746C0F" w14:textId="477C7BD1" w:rsidR="002D43E6" w:rsidRPr="00131913" w:rsidRDefault="002D43E6" w:rsidP="00D97617">
      <w:pPr>
        <w:pStyle w:val="Heading3"/>
        <w:numPr>
          <w:ilvl w:val="0"/>
          <w:numId w:val="1"/>
        </w:numPr>
        <w:ind w:left="567" w:hanging="567"/>
        <w:rPr>
          <w:color w:val="CD6084" w:themeColor="accent5"/>
          <w:sz w:val="24"/>
        </w:rPr>
      </w:pPr>
      <w:r w:rsidRPr="00131913">
        <w:rPr>
          <w:color w:val="CD6084" w:themeColor="accent5"/>
          <w:sz w:val="24"/>
        </w:rPr>
        <w:t>Training and education</w:t>
      </w:r>
    </w:p>
    <w:p w14:paraId="4162475A" w14:textId="425C60AA" w:rsidR="002D43E6" w:rsidRPr="00356F51" w:rsidRDefault="002D43E6" w:rsidP="00736468">
      <w:pPr>
        <w:pStyle w:val="BodyText"/>
        <w:tabs>
          <w:tab w:val="left" w:pos="3118"/>
        </w:tabs>
        <w:kinsoku w:val="0"/>
        <w:overflowPunct w:val="0"/>
        <w:ind w:left="0" w:firstLine="0"/>
        <w:rPr>
          <w:rFonts w:asciiTheme="minorHAnsi" w:hAnsiTheme="minorHAnsi" w:cs="Calibri"/>
          <w:szCs w:val="22"/>
        </w:rPr>
      </w:pPr>
      <w:r w:rsidRPr="00FD31FA">
        <w:rPr>
          <w:rFonts w:asciiTheme="minorHAnsi" w:hAnsiTheme="minorHAnsi" w:cs="Calibri"/>
          <w:szCs w:val="22"/>
        </w:rPr>
        <w:t>Opportunities for neuroanaesthesia training occur at ST3</w:t>
      </w:r>
      <w:r>
        <w:rPr>
          <w:rFonts w:asciiTheme="minorHAnsi" w:hAnsiTheme="minorHAnsi" w:cs="Calibri"/>
          <w:szCs w:val="22"/>
        </w:rPr>
        <w:t>–ST</w:t>
      </w:r>
      <w:r w:rsidRPr="00FD31FA">
        <w:rPr>
          <w:rFonts w:asciiTheme="minorHAnsi" w:hAnsiTheme="minorHAnsi" w:cs="Calibri"/>
          <w:szCs w:val="22"/>
        </w:rPr>
        <w:t>4</w:t>
      </w:r>
      <w:bookmarkStart w:id="8" w:name="_GoBack"/>
      <w:bookmarkEnd w:id="8"/>
      <w:r w:rsidRPr="00FD31FA">
        <w:rPr>
          <w:rFonts w:asciiTheme="minorHAnsi" w:hAnsiTheme="minorHAnsi" w:cs="Calibri"/>
          <w:szCs w:val="22"/>
        </w:rPr>
        <w:t xml:space="preserve"> and</w:t>
      </w:r>
      <w:r>
        <w:rPr>
          <w:rFonts w:asciiTheme="minorHAnsi" w:hAnsiTheme="minorHAnsi" w:cs="Calibri"/>
          <w:szCs w:val="22"/>
        </w:rPr>
        <w:t>,</w:t>
      </w:r>
      <w:r w:rsidR="00E75834">
        <w:rPr>
          <w:rFonts w:asciiTheme="minorHAnsi" w:hAnsiTheme="minorHAnsi" w:cs="Calibri"/>
          <w:szCs w:val="22"/>
        </w:rPr>
        <w:t xml:space="preserve"> post </w:t>
      </w:r>
      <w:r w:rsidRPr="00FD31FA">
        <w:rPr>
          <w:rFonts w:asciiTheme="minorHAnsi" w:hAnsiTheme="minorHAnsi" w:cs="Calibri"/>
          <w:szCs w:val="22"/>
        </w:rPr>
        <w:t>fellowship, at ST5</w:t>
      </w:r>
      <w:r>
        <w:rPr>
          <w:rFonts w:asciiTheme="minorHAnsi" w:hAnsiTheme="minorHAnsi" w:cs="Calibri"/>
          <w:szCs w:val="22"/>
        </w:rPr>
        <w:t>–ST</w:t>
      </w:r>
      <w:r w:rsidRPr="00FD31FA">
        <w:rPr>
          <w:rFonts w:asciiTheme="minorHAnsi" w:hAnsiTheme="minorHAnsi" w:cs="Calibri"/>
          <w:szCs w:val="22"/>
        </w:rPr>
        <w:t>7</w:t>
      </w:r>
      <w:r w:rsidRPr="00356F51">
        <w:rPr>
          <w:rFonts w:asciiTheme="minorHAnsi" w:hAnsiTheme="minorHAnsi" w:cs="Calibri"/>
          <w:szCs w:val="22"/>
        </w:rPr>
        <w:t>. A key learning objective is the initial management and transfer of the brain</w:t>
      </w:r>
      <w:r w:rsidR="00127979">
        <w:rPr>
          <w:rFonts w:asciiTheme="minorHAnsi" w:hAnsiTheme="minorHAnsi" w:cs="Calibri"/>
          <w:szCs w:val="22"/>
        </w:rPr>
        <w:t xml:space="preserve"> </w:t>
      </w:r>
      <w:r w:rsidRPr="00356F51">
        <w:rPr>
          <w:rFonts w:asciiTheme="minorHAnsi" w:hAnsiTheme="minorHAnsi" w:cs="Calibri"/>
          <w:szCs w:val="22"/>
        </w:rPr>
        <w:t>injured patient.</w:t>
      </w:r>
      <w:r>
        <w:rPr>
          <w:rFonts w:asciiTheme="minorHAnsi" w:hAnsiTheme="minorHAnsi" w:cs="Calibri"/>
          <w:szCs w:val="22"/>
        </w:rPr>
        <w:t xml:space="preserve"> </w:t>
      </w:r>
      <w:r w:rsidRPr="00356F51">
        <w:rPr>
          <w:rFonts w:asciiTheme="minorHAnsi" w:hAnsiTheme="minorHAnsi" w:cs="Calibri"/>
          <w:szCs w:val="22"/>
        </w:rPr>
        <w:t>Some trainees (</w:t>
      </w:r>
      <w:r>
        <w:rPr>
          <w:rFonts w:asciiTheme="minorHAnsi" w:hAnsiTheme="minorHAnsi" w:cs="Calibri"/>
          <w:szCs w:val="22"/>
        </w:rPr>
        <w:t>especially</w:t>
      </w:r>
      <w:r w:rsidRPr="00356F51">
        <w:rPr>
          <w:rFonts w:asciiTheme="minorHAnsi" w:hAnsiTheme="minorHAnsi" w:cs="Calibri"/>
          <w:szCs w:val="22"/>
        </w:rPr>
        <w:t xml:space="preserve"> those considering a career in </w:t>
      </w:r>
      <w:r>
        <w:rPr>
          <w:rFonts w:asciiTheme="minorHAnsi" w:hAnsiTheme="minorHAnsi" w:cs="Calibri"/>
          <w:szCs w:val="22"/>
        </w:rPr>
        <w:t>n</w:t>
      </w:r>
      <w:r w:rsidRPr="00356F51">
        <w:rPr>
          <w:rFonts w:asciiTheme="minorHAnsi" w:hAnsiTheme="minorHAnsi" w:cs="Calibri"/>
          <w:szCs w:val="22"/>
        </w:rPr>
        <w:t xml:space="preserve">euroanaesthesia or critical care) will opt for a further/longer attachment at </w:t>
      </w:r>
      <w:r>
        <w:rPr>
          <w:rFonts w:asciiTheme="minorHAnsi" w:hAnsiTheme="minorHAnsi" w:cs="Calibri"/>
          <w:szCs w:val="22"/>
        </w:rPr>
        <w:t>an advanced</w:t>
      </w:r>
      <w:r w:rsidRPr="00356F51">
        <w:rPr>
          <w:rFonts w:asciiTheme="minorHAnsi" w:hAnsiTheme="minorHAnsi" w:cs="Calibri"/>
          <w:szCs w:val="22"/>
        </w:rPr>
        <w:t xml:space="preserve"> level. </w:t>
      </w:r>
    </w:p>
    <w:p w14:paraId="7258219B" w14:textId="506418A4" w:rsidR="002D43E6" w:rsidRPr="00356F51" w:rsidRDefault="002D43E6" w:rsidP="00D97617">
      <w:pPr>
        <w:pStyle w:val="recommendation"/>
        <w:numPr>
          <w:ilvl w:val="1"/>
          <w:numId w:val="1"/>
        </w:numPr>
        <w:ind w:left="567" w:hanging="567"/>
      </w:pPr>
      <w:r w:rsidRPr="00356F51">
        <w:t xml:space="preserve">Consultants and SAS doctors working in neuroanaesthesia should have sufficient regular programmed activities within this field to ensure that their specific skills and experience are maintained. </w:t>
      </w:r>
    </w:p>
    <w:p w14:paraId="3A0E3650" w14:textId="0137BE9C" w:rsidR="002D43E6" w:rsidRPr="00356F51" w:rsidRDefault="002D43E6" w:rsidP="00D97617">
      <w:pPr>
        <w:pStyle w:val="recommendation"/>
        <w:numPr>
          <w:ilvl w:val="1"/>
          <w:numId w:val="1"/>
        </w:numPr>
        <w:ind w:left="567" w:hanging="567"/>
      </w:pPr>
      <w:r w:rsidRPr="00356F51">
        <w:t>Departments should consider providing newly</w:t>
      </w:r>
      <w:r>
        <w:t xml:space="preserve"> </w:t>
      </w:r>
      <w:r w:rsidRPr="00356F51">
        <w:t xml:space="preserve">appointed </w:t>
      </w:r>
      <w:r w:rsidRPr="00E75834">
        <w:t>consultants</w:t>
      </w:r>
      <w:r w:rsidRPr="00356F51">
        <w:t xml:space="preserve"> with a mentor to facilitate their development in neuroanaesthesia if they have had limited experience in the specialty as a </w:t>
      </w:r>
      <w:r w:rsidRPr="00CF71E3">
        <w:rPr>
          <w:rFonts w:eastAsiaTheme="minorEastAsia"/>
          <w:lang w:eastAsia="en-US"/>
        </w:rPr>
        <w:t>trainee</w:t>
      </w:r>
      <w:r w:rsidRPr="00356F51">
        <w:t>.</w:t>
      </w:r>
    </w:p>
    <w:p w14:paraId="4E467068" w14:textId="66A5C7FD" w:rsidR="002D43E6" w:rsidRPr="00356F51" w:rsidRDefault="002D43E6" w:rsidP="00D97617">
      <w:pPr>
        <w:pStyle w:val="recommendation"/>
        <w:numPr>
          <w:ilvl w:val="1"/>
          <w:numId w:val="1"/>
        </w:numPr>
        <w:ind w:left="567" w:hanging="567"/>
      </w:pPr>
      <w:r w:rsidRPr="00E75834">
        <w:t>Consultant anaesthetists</w:t>
      </w:r>
      <w:r w:rsidRPr="00356F51">
        <w:t xml:space="preserve"> who provide out of hours cover to the neuroscience unit, but do not provide neuroanaesthesia in working hours, </w:t>
      </w:r>
      <w:r w:rsidRPr="009A033E">
        <w:t xml:space="preserve">should be able to demonstrate the maintenance of appropriate skills and knowledge through regular clinical involvement and </w:t>
      </w:r>
      <w:r>
        <w:t>continuing professional development (</w:t>
      </w:r>
      <w:r w:rsidRPr="009A033E">
        <w:t>CPD</w:t>
      </w:r>
      <w:r>
        <w:t>)</w:t>
      </w:r>
      <w:r w:rsidRPr="009A033E">
        <w:t>.</w:t>
      </w:r>
    </w:p>
    <w:p w14:paraId="7F531B59" w14:textId="588E34C5" w:rsidR="002D43E6" w:rsidRPr="00356F51" w:rsidRDefault="002D43E6" w:rsidP="00D97617">
      <w:pPr>
        <w:pStyle w:val="recommendation"/>
        <w:numPr>
          <w:ilvl w:val="1"/>
          <w:numId w:val="1"/>
        </w:numPr>
        <w:ind w:left="567" w:hanging="567"/>
      </w:pPr>
      <w:r>
        <w:t>Elective n</w:t>
      </w:r>
      <w:r w:rsidRPr="00356F51">
        <w:t xml:space="preserve">euroanaesthesia for highly specialised procedures that have limited case numbers, </w:t>
      </w:r>
      <w:r w:rsidR="00FB1DAA">
        <w:t>e</w:t>
      </w:r>
      <w:r w:rsidR="00E75834">
        <w:t>.</w:t>
      </w:r>
      <w:r w:rsidR="00FB1DAA">
        <w:t>g</w:t>
      </w:r>
      <w:r w:rsidR="00E75834">
        <w:t>.</w:t>
      </w:r>
      <w:r w:rsidRPr="00356F51">
        <w:t xml:space="preserve"> craniofacial procedures, awake neurosurgery, </w:t>
      </w:r>
      <w:r>
        <w:t xml:space="preserve">and </w:t>
      </w:r>
      <w:r w:rsidRPr="00356F51">
        <w:t>deep brain stimulation</w:t>
      </w:r>
      <w:r>
        <w:t>,</w:t>
      </w:r>
      <w:r w:rsidRPr="00356F51">
        <w:t xml:space="preserve"> should be provided by a </w:t>
      </w:r>
      <w:r>
        <w:rPr>
          <w:rFonts w:eastAsiaTheme="minorEastAsia"/>
          <w:lang w:eastAsia="en-US"/>
        </w:rPr>
        <w:t>dedicated subgroup</w:t>
      </w:r>
      <w:r w:rsidRPr="00CF71E3">
        <w:rPr>
          <w:rFonts w:eastAsiaTheme="minorEastAsia"/>
          <w:lang w:eastAsia="en-US"/>
        </w:rPr>
        <w:t xml:space="preserve"> </w:t>
      </w:r>
      <w:r w:rsidRPr="00356F51">
        <w:t xml:space="preserve">of neuroanaesthetists within the department to ensure that they are able to treat sufficient numbers in order to maintain their competence in these areas. </w:t>
      </w:r>
    </w:p>
    <w:p w14:paraId="324D0FCE" w14:textId="30D95F59" w:rsidR="002D43E6" w:rsidRPr="00356F51" w:rsidRDefault="002D43E6" w:rsidP="00D97617">
      <w:pPr>
        <w:pStyle w:val="recommendation"/>
        <w:numPr>
          <w:ilvl w:val="1"/>
          <w:numId w:val="1"/>
        </w:numPr>
        <w:ind w:left="567" w:hanging="567"/>
      </w:pPr>
      <w:r w:rsidRPr="00356F51">
        <w:t xml:space="preserve">The use of simulation training for critical incident scenarios should be </w:t>
      </w:r>
      <w:r>
        <w:t>available</w:t>
      </w:r>
      <w:r w:rsidRPr="00356F51">
        <w:t xml:space="preserve"> </w:t>
      </w:r>
      <w:r>
        <w:t xml:space="preserve">to </w:t>
      </w:r>
      <w:r w:rsidRPr="00356F51">
        <w:t>all members of the multidisciplinary team</w:t>
      </w:r>
      <w:r>
        <w:t xml:space="preserve">. Examples include CPR of </w:t>
      </w:r>
      <w:r w:rsidRPr="00356F51">
        <w:t>patient</w:t>
      </w:r>
      <w:r>
        <w:t>s</w:t>
      </w:r>
      <w:r w:rsidRPr="00356F51">
        <w:t xml:space="preserve"> </w:t>
      </w:r>
      <w:r>
        <w:t>not in the supine</w:t>
      </w:r>
      <w:r w:rsidRPr="00356F51">
        <w:t xml:space="preserve"> position</w:t>
      </w:r>
      <w:r>
        <w:t>,</w:t>
      </w:r>
      <w:r w:rsidRPr="00356F51">
        <w:t xml:space="preserve"> </w:t>
      </w:r>
      <w:r>
        <w:t xml:space="preserve">patients with their head pinned, </w:t>
      </w:r>
      <w:r w:rsidRPr="00356F51">
        <w:t xml:space="preserve">or </w:t>
      </w:r>
      <w:r>
        <w:t xml:space="preserve">if anaesthesia is being provided </w:t>
      </w:r>
      <w:r w:rsidRPr="00356F51">
        <w:t>in an isolated site.</w:t>
      </w:r>
      <w:r w:rsidRPr="00356F51">
        <w:rPr>
          <w:rStyle w:val="EndnoteReference"/>
          <w:rFonts w:asciiTheme="minorHAnsi" w:hAnsiTheme="minorHAnsi"/>
        </w:rPr>
        <w:endnoteReference w:id="24"/>
      </w:r>
      <w:r w:rsidRPr="00356F51">
        <w:t xml:space="preserve"> </w:t>
      </w:r>
    </w:p>
    <w:p w14:paraId="51643005" w14:textId="77777777" w:rsidR="002D43E6" w:rsidRPr="00356F51" w:rsidRDefault="002D43E6" w:rsidP="00D97617">
      <w:pPr>
        <w:pStyle w:val="recommendation"/>
        <w:numPr>
          <w:ilvl w:val="1"/>
          <w:numId w:val="1"/>
        </w:numPr>
        <w:ind w:left="567" w:hanging="567"/>
      </w:pPr>
      <w:r w:rsidRPr="00356F51">
        <w:t xml:space="preserve">As trainees spend limited time in the specialty, departments should facilitate the delivery of structured training programmes, developed by the school of anaesthesia, to ensure all core topics are covered. To ensure that their time in neuroanaesthesia is of maximum benefit, departments might consider allowing the trainees some flexibility in list attachments so once </w:t>
      </w:r>
      <w:r w:rsidRPr="00356F51">
        <w:lastRenderedPageBreak/>
        <w:t xml:space="preserve">case mix is known, they </w:t>
      </w:r>
      <w:r>
        <w:t xml:space="preserve">can </w:t>
      </w:r>
      <w:r w:rsidRPr="00356F51">
        <w:t>allocate themselves to the list w</w:t>
      </w:r>
      <w:r>
        <w:t>hich provides the</w:t>
      </w:r>
      <w:r w:rsidRPr="00356F51">
        <w:t xml:space="preserve"> optimum training opportunity. </w:t>
      </w:r>
    </w:p>
    <w:p w14:paraId="0B931606" w14:textId="77777777" w:rsidR="002D43E6" w:rsidRPr="009C6630" w:rsidRDefault="002D43E6" w:rsidP="00D97617">
      <w:pPr>
        <w:pStyle w:val="recommendation"/>
        <w:numPr>
          <w:ilvl w:val="1"/>
          <w:numId w:val="1"/>
        </w:numPr>
        <w:ind w:left="567" w:hanging="567"/>
        <w:rPr>
          <w:rFonts w:eastAsia="Century Gothic" w:cs="Century Gothic"/>
        </w:rPr>
      </w:pPr>
      <w:r w:rsidRPr="009C6630">
        <w:t>Trainees should be encouraged to attend other training opportunities within the neuroscience unit, such as grand rounds, radiology and pathology case conferences, and mortality and morbidity meetings.</w:t>
      </w:r>
    </w:p>
    <w:p w14:paraId="24C08E5E" w14:textId="6AC90C25" w:rsidR="002D43E6" w:rsidRDefault="002D43E6" w:rsidP="00D97617">
      <w:pPr>
        <w:pStyle w:val="recommendation"/>
        <w:numPr>
          <w:ilvl w:val="1"/>
          <w:numId w:val="1"/>
        </w:numPr>
        <w:ind w:left="567" w:hanging="567"/>
      </w:pPr>
      <w:r>
        <w:t xml:space="preserve">Fellowship </w:t>
      </w:r>
      <w:r w:rsidRPr="00356F51">
        <w:t>posts should be identified to allow additional training for those who wish to follow a career in neuroanaesthesia or neurocritical care. These should be suitable for trainees who wish to take time out of training progra</w:t>
      </w:r>
      <w:r>
        <w:t>mmes, or for those who are post</w:t>
      </w:r>
      <w:r w:rsidR="00E75834">
        <w:t xml:space="preserve"> </w:t>
      </w:r>
      <w:r w:rsidRPr="00356F51">
        <w:t>CCT. Such posts should provide similar or enhanced levels of teaching, training and access to study leave as regular training posts.</w:t>
      </w:r>
    </w:p>
    <w:p w14:paraId="0A2269BE" w14:textId="46CF49B3" w:rsidR="002D43E6" w:rsidRPr="00131913" w:rsidRDefault="002D43E6" w:rsidP="00D97617">
      <w:pPr>
        <w:pStyle w:val="Heading3"/>
        <w:numPr>
          <w:ilvl w:val="0"/>
          <w:numId w:val="1"/>
        </w:numPr>
        <w:ind w:left="567" w:hanging="567"/>
        <w:rPr>
          <w:color w:val="CD6084" w:themeColor="accent5"/>
          <w:sz w:val="24"/>
        </w:rPr>
      </w:pPr>
      <w:r w:rsidRPr="00131913">
        <w:rPr>
          <w:color w:val="CD6084" w:themeColor="accent5"/>
          <w:sz w:val="24"/>
        </w:rPr>
        <w:t>Organisation and administration</w:t>
      </w:r>
    </w:p>
    <w:p w14:paraId="4AEC98BD" w14:textId="3E990470" w:rsidR="002D43E6" w:rsidRPr="002B4F44" w:rsidRDefault="002D43E6" w:rsidP="00D97617">
      <w:pPr>
        <w:pStyle w:val="recommendation"/>
        <w:numPr>
          <w:ilvl w:val="1"/>
          <w:numId w:val="1"/>
        </w:numPr>
        <w:ind w:left="567" w:hanging="567"/>
      </w:pPr>
      <w:r w:rsidRPr="00356F51">
        <w:t>Much of neurosurgery involves acute work with a high degree of urgency. The provision of associated services should recognise this need and inappropriate delay should not be allowed to occur as a result of lack of key personnel or facilities. Laboratory services, neuroradiology</w:t>
      </w:r>
      <w:r>
        <w:t>,</w:t>
      </w:r>
      <w:r w:rsidRPr="00356F51">
        <w:t xml:space="preserve"> availability of operating theatre time </w:t>
      </w:r>
      <w:r w:rsidR="00BD2DDD">
        <w:t>and sufficient l</w:t>
      </w:r>
      <w:r>
        <w:t>evel 1–</w:t>
      </w:r>
      <w:r w:rsidRPr="002B4F44">
        <w:t>3 bed provision should all be organised to cope with these demands.</w:t>
      </w:r>
    </w:p>
    <w:p w14:paraId="71AC6519" w14:textId="77777777" w:rsidR="002D43E6" w:rsidRPr="003F4A86" w:rsidRDefault="002D43E6" w:rsidP="00D97617">
      <w:pPr>
        <w:pStyle w:val="recommendation"/>
        <w:numPr>
          <w:ilvl w:val="1"/>
          <w:numId w:val="1"/>
        </w:numPr>
        <w:ind w:left="567" w:hanging="567"/>
      </w:pPr>
      <w:r w:rsidRPr="00356F51">
        <w:t xml:space="preserve">There should be sufficient numbers of clinical programmed activities in </w:t>
      </w:r>
      <w:r w:rsidRPr="00E75834">
        <w:t>consultants’</w:t>
      </w:r>
      <w:r w:rsidRPr="00356F51">
        <w:t xml:space="preserve"> job plans to provide cover for all elective neurosurgical operating lists and to provide adequate emergency </w:t>
      </w:r>
      <w:r w:rsidRPr="009C6630">
        <w:rPr>
          <w:rFonts w:eastAsia="Arial Unicode MS" w:cs="Times New Roman"/>
          <w:szCs w:val="24"/>
          <w:bdr w:val="nil"/>
        </w:rPr>
        <w:t>cover</w:t>
      </w:r>
      <w:r w:rsidRPr="003F4A86">
        <w:rPr>
          <w:rFonts w:eastAsia="Arial Unicode MS" w:cs="Times New Roman"/>
          <w:szCs w:val="24"/>
          <w:bdr w:val="nil"/>
        </w:rPr>
        <w:t>.</w:t>
      </w:r>
    </w:p>
    <w:p w14:paraId="7DAF5322" w14:textId="77777777" w:rsidR="002D43E6" w:rsidRPr="00356F51" w:rsidRDefault="002D43E6" w:rsidP="00D97617">
      <w:pPr>
        <w:pStyle w:val="recommendation"/>
        <w:numPr>
          <w:ilvl w:val="1"/>
          <w:numId w:val="1"/>
        </w:numPr>
        <w:ind w:left="567" w:hanging="567"/>
      </w:pPr>
      <w:r w:rsidRPr="00356F51">
        <w:t xml:space="preserve">Departments of neuroanaesthesia and neurocritical care, even if part of a large general department, should be provided with adequate secretarial and administrative support. </w:t>
      </w:r>
    </w:p>
    <w:p w14:paraId="4A1544A6" w14:textId="679BA440" w:rsidR="002D43E6" w:rsidRPr="00356F51" w:rsidRDefault="002D43E6" w:rsidP="00D97617">
      <w:pPr>
        <w:pStyle w:val="recommendation"/>
        <w:numPr>
          <w:ilvl w:val="1"/>
          <w:numId w:val="1"/>
        </w:numPr>
        <w:ind w:left="567" w:hanging="567"/>
      </w:pPr>
      <w:r w:rsidRPr="00E75834">
        <w:t>Consultants</w:t>
      </w:r>
      <w:r w:rsidRPr="00356F51">
        <w:t xml:space="preserve"> in neuroanaesthesia should be involved in the local and regional planning of any novel neuroscience services </w:t>
      </w:r>
      <w:r w:rsidR="00FB1DAA">
        <w:t>e</w:t>
      </w:r>
      <w:r w:rsidR="00E75834">
        <w:t>.</w:t>
      </w:r>
      <w:r w:rsidR="00FB1DAA">
        <w:t>g</w:t>
      </w:r>
      <w:r w:rsidR="00E75834">
        <w:t>.</w:t>
      </w:r>
      <w:r w:rsidRPr="00356F51">
        <w:t xml:space="preserve"> thrombectomy.</w:t>
      </w:r>
    </w:p>
    <w:p w14:paraId="2CF7738A" w14:textId="14908468" w:rsidR="002D43E6" w:rsidRPr="00356F51" w:rsidRDefault="00E75834" w:rsidP="00D97617">
      <w:pPr>
        <w:pStyle w:val="recommendation"/>
        <w:numPr>
          <w:ilvl w:val="1"/>
          <w:numId w:val="1"/>
        </w:numPr>
        <w:ind w:left="567" w:hanging="567"/>
      </w:pPr>
      <w:r>
        <w:t>Pre</w:t>
      </w:r>
      <w:r w:rsidR="002D43E6" w:rsidRPr="00356F51">
        <w:t>admission clinics for elective neurosurgery should be available, with early input from the department of neuroanaesthesia particularly for high</w:t>
      </w:r>
      <w:r w:rsidR="000C7102">
        <w:t xml:space="preserve"> </w:t>
      </w:r>
      <w:r w:rsidR="002D43E6" w:rsidRPr="00356F51">
        <w:t>risk cases and those where additional time and discussion are required</w:t>
      </w:r>
      <w:r w:rsidR="00FB1DAA">
        <w:t>,</w:t>
      </w:r>
      <w:r w:rsidR="002D43E6" w:rsidRPr="00356F51">
        <w:t xml:space="preserve"> e</w:t>
      </w:r>
      <w:r>
        <w:t>.</w:t>
      </w:r>
      <w:r w:rsidR="002D43E6" w:rsidRPr="00356F51">
        <w:t>g</w:t>
      </w:r>
      <w:r>
        <w:t>.</w:t>
      </w:r>
      <w:r w:rsidR="002D43E6" w:rsidRPr="00356F51">
        <w:t xml:space="preserve"> awake craniotomy. All centres should be able to demonstrate that discussion of perioperative risk is routine and that specific risks related to</w:t>
      </w:r>
      <w:r w:rsidR="00FB1DAA">
        <w:t>,</w:t>
      </w:r>
      <w:r w:rsidR="002D43E6" w:rsidRPr="00356F51">
        <w:t xml:space="preserve"> e</w:t>
      </w:r>
      <w:r>
        <w:t>.</w:t>
      </w:r>
      <w:r w:rsidR="002D43E6" w:rsidRPr="00356F51">
        <w:t>g</w:t>
      </w:r>
      <w:r>
        <w:t>.</w:t>
      </w:r>
      <w:r w:rsidR="002D43E6" w:rsidRPr="00356F51">
        <w:t xml:space="preserve"> prone positioning are communicated.</w:t>
      </w:r>
      <w:r w:rsidR="002D43E6" w:rsidRPr="00356F51">
        <w:rPr>
          <w:rStyle w:val="EndnoteReference"/>
          <w:rFonts w:asciiTheme="minorHAnsi" w:hAnsiTheme="minorHAnsi"/>
        </w:rPr>
        <w:endnoteReference w:id="25"/>
      </w:r>
      <w:r w:rsidR="002D43E6" w:rsidRPr="00356F51">
        <w:rPr>
          <w:vertAlign w:val="superscript"/>
        </w:rPr>
        <w:t>,</w:t>
      </w:r>
      <w:r w:rsidR="002D43E6" w:rsidRPr="00356F51">
        <w:rPr>
          <w:rStyle w:val="EndnoteReference"/>
          <w:rFonts w:asciiTheme="minorHAnsi" w:hAnsiTheme="minorHAnsi"/>
        </w:rPr>
        <w:endnoteReference w:id="26"/>
      </w:r>
      <w:r w:rsidR="000C7102">
        <w:rPr>
          <w:vertAlign w:val="superscript"/>
        </w:rPr>
        <w:t>,</w:t>
      </w:r>
      <w:r w:rsidR="00930A52">
        <w:rPr>
          <w:rStyle w:val="EndnoteReference"/>
          <w:rFonts w:asciiTheme="minorHAnsi" w:hAnsiTheme="minorHAnsi"/>
        </w:rPr>
        <w:endnoteReference w:id="27"/>
      </w:r>
    </w:p>
    <w:p w14:paraId="2C1849CE" w14:textId="6E4D148B" w:rsidR="002D43E6" w:rsidRDefault="002D43E6" w:rsidP="00D97617">
      <w:pPr>
        <w:pStyle w:val="recommendation"/>
        <w:numPr>
          <w:ilvl w:val="1"/>
          <w:numId w:val="1"/>
        </w:numPr>
        <w:ind w:left="567" w:hanging="567"/>
      </w:pPr>
      <w:r w:rsidRPr="00356F51">
        <w:t>Hospitals should have systems in place to facilitate multidisciplinary meetings for neuroscience services.</w:t>
      </w:r>
      <w:r w:rsidR="00881D31">
        <w:rPr>
          <w:rStyle w:val="EndnoteReference"/>
          <w:rFonts w:asciiTheme="minorHAnsi" w:hAnsiTheme="minorHAnsi"/>
        </w:rPr>
        <w:endnoteReference w:id="28"/>
      </w:r>
      <w:r w:rsidR="008B3FFF">
        <w:rPr>
          <w:vertAlign w:val="superscript"/>
        </w:rPr>
        <w:t>,</w:t>
      </w:r>
      <w:r w:rsidR="008B3FFF">
        <w:rPr>
          <w:rStyle w:val="EndnoteReference"/>
          <w:rFonts w:asciiTheme="minorHAnsi" w:hAnsiTheme="minorHAnsi"/>
        </w:rPr>
        <w:endnoteReference w:id="29"/>
      </w:r>
      <w:r w:rsidRPr="00356F51">
        <w:t xml:space="preserve"> </w:t>
      </w:r>
    </w:p>
    <w:p w14:paraId="3AD4210E" w14:textId="77777777" w:rsidR="002D43E6" w:rsidRPr="00356F51" w:rsidRDefault="002D43E6" w:rsidP="00D97617">
      <w:pPr>
        <w:pStyle w:val="recommendation"/>
        <w:numPr>
          <w:ilvl w:val="1"/>
          <w:numId w:val="1"/>
        </w:numPr>
        <w:ind w:left="567" w:hanging="567"/>
      </w:pPr>
      <w:r>
        <w:t xml:space="preserve">A </w:t>
      </w:r>
      <w:r w:rsidRPr="00392C97">
        <w:t>World Health Organization (WHO</w:t>
      </w:r>
      <w:r>
        <w:t>) checklist adapted for neuroscience procedures should be in use.</w:t>
      </w:r>
    </w:p>
    <w:p w14:paraId="7704D8EB" w14:textId="77777777" w:rsidR="002D43E6" w:rsidRPr="0010561E" w:rsidRDefault="002D43E6" w:rsidP="00D97617">
      <w:pPr>
        <w:pStyle w:val="recommendation"/>
        <w:numPr>
          <w:ilvl w:val="1"/>
          <w:numId w:val="1"/>
        </w:numPr>
        <w:ind w:left="567" w:hanging="567"/>
      </w:pPr>
      <w:r w:rsidRPr="00356F51">
        <w:t>The theatre team should all engage in the use of the</w:t>
      </w:r>
      <w:r>
        <w:t xml:space="preserve"> WHO</w:t>
      </w:r>
      <w:r w:rsidRPr="00356F51">
        <w:t xml:space="preserve"> </w:t>
      </w:r>
      <w:r w:rsidRPr="00D85161">
        <w:rPr>
          <w:rFonts w:eastAsiaTheme="minorEastAsia"/>
          <w:lang w:eastAsia="en-US"/>
        </w:rPr>
        <w:t xml:space="preserve">surgical </w:t>
      </w:r>
      <w:r w:rsidRPr="00356F51">
        <w:t>safety process, commencing with a team brief, and concluding the list with a team debrief.</w:t>
      </w:r>
      <w:r w:rsidRPr="00356F51">
        <w:rPr>
          <w:rStyle w:val="EndnoteReference"/>
          <w:rFonts w:asciiTheme="minorHAnsi" w:hAnsiTheme="minorHAnsi"/>
        </w:rPr>
        <w:endnoteReference w:id="30"/>
      </w:r>
      <w:r w:rsidRPr="00356F51">
        <w:t xml:space="preserve"> Debrief should highlight things done well and also identify areas requiring improvement. Teams should consider including the declaration of emergency call procedures specific to the location as part of the team brief.</w:t>
      </w:r>
      <w:r>
        <w:rPr>
          <w:rFonts w:eastAsia="Times New Roman" w:cs="Century Gothic"/>
          <w:highlight w:val="yellow"/>
          <w:lang w:eastAsia="en-US"/>
        </w:rPr>
        <w:t xml:space="preserve"> </w:t>
      </w:r>
    </w:p>
    <w:p w14:paraId="1002B07A" w14:textId="5DC2F1E7" w:rsidR="002D43E6" w:rsidRPr="00461AF3" w:rsidRDefault="00D97617" w:rsidP="00D97617">
      <w:pPr>
        <w:pStyle w:val="recommendation"/>
        <w:numPr>
          <w:ilvl w:val="1"/>
          <w:numId w:val="1"/>
        </w:numPr>
        <w:ind w:left="567" w:hanging="567"/>
      </w:pPr>
      <w:r>
        <w:t>For stand</w:t>
      </w:r>
      <w:r w:rsidR="002D43E6" w:rsidRPr="00356F51">
        <w:t xml:space="preserve">alone neuroscience centres, local arrangements should be in place for specialist opinion and review of patients by other disciplines. A </w:t>
      </w:r>
      <w:r w:rsidR="002D43E6" w:rsidRPr="00E75834">
        <w:t>named consultant</w:t>
      </w:r>
      <w:r w:rsidR="002D43E6" w:rsidRPr="00356F51">
        <w:t xml:space="preserve"> neuroanaesthetist should be identified to facilitate such liaiso</w:t>
      </w:r>
      <w:r w:rsidR="002D43E6" w:rsidRPr="00EB08E1">
        <w:t>n</w:t>
      </w:r>
      <w:r w:rsidR="002D43E6" w:rsidRPr="00EB08E1">
        <w:rPr>
          <w:rFonts w:eastAsia="Times New Roman" w:cs="Century Gothic"/>
          <w:lang w:eastAsia="en-US"/>
        </w:rPr>
        <w:t>.</w:t>
      </w:r>
    </w:p>
    <w:p w14:paraId="2C41BD56" w14:textId="77777777" w:rsidR="00D97617" w:rsidRDefault="002D43E6" w:rsidP="00D97617">
      <w:pPr>
        <w:pStyle w:val="recommendation"/>
        <w:numPr>
          <w:ilvl w:val="1"/>
          <w:numId w:val="1"/>
        </w:numPr>
        <w:ind w:left="567" w:hanging="567"/>
      </w:pPr>
      <w:r w:rsidRPr="00461AF3">
        <w:t xml:space="preserve">Hospitals should review their local standards to ensure that they are harmonised with the relevant national safety standards, </w:t>
      </w:r>
      <w:r w:rsidR="00FB1DAA">
        <w:t>e</w:t>
      </w:r>
      <w:r w:rsidR="00E75834">
        <w:t>.</w:t>
      </w:r>
      <w:r w:rsidR="00FB1DAA">
        <w:t>g</w:t>
      </w:r>
      <w:r w:rsidR="00E75834">
        <w:t>.</w:t>
      </w:r>
      <w:r w:rsidRPr="00461AF3">
        <w:t xml:space="preserve"> National Safety Standards for Invasive Procedures in </w:t>
      </w:r>
      <w:r w:rsidRPr="00461AF3">
        <w:lastRenderedPageBreak/>
        <w:t>England or the Scottish Patient Safety Programme in Scotland.</w:t>
      </w:r>
      <w:r>
        <w:rPr>
          <w:rStyle w:val="EndnoteReference"/>
          <w:rFonts w:asciiTheme="minorHAnsi" w:hAnsiTheme="minorHAnsi"/>
        </w:rPr>
        <w:endnoteReference w:id="31"/>
      </w:r>
      <w:r>
        <w:rPr>
          <w:vertAlign w:val="superscript"/>
        </w:rPr>
        <w:t>,</w:t>
      </w:r>
      <w:r>
        <w:rPr>
          <w:rStyle w:val="EndnoteReference"/>
          <w:rFonts w:asciiTheme="minorHAnsi" w:hAnsiTheme="minorHAnsi"/>
        </w:rPr>
        <w:endnoteReference w:id="32"/>
      </w:r>
      <w:r w:rsidRPr="00461AF3">
        <w:t xml:space="preserve"> Organisational leaders are ultimately responsible for implementing local safety</w:t>
      </w:r>
      <w:r>
        <w:t xml:space="preserve"> </w:t>
      </w:r>
      <w:r w:rsidRPr="00461AF3">
        <w:t>standards as necessary</w:t>
      </w:r>
      <w:r>
        <w:t>.</w:t>
      </w:r>
    </w:p>
    <w:p w14:paraId="6C8CC4D9" w14:textId="79F2FD76" w:rsidR="002D43E6" w:rsidRPr="00356F51" w:rsidRDefault="002D43E6" w:rsidP="00D97617">
      <w:pPr>
        <w:pStyle w:val="recommendation"/>
        <w:numPr>
          <w:ilvl w:val="1"/>
          <w:numId w:val="1"/>
        </w:numPr>
        <w:ind w:left="567" w:hanging="567"/>
      </w:pPr>
      <w:r w:rsidRPr="00356F51">
        <w:t xml:space="preserve">Local guidance should be developed for the intrahospital transfer of neuroscience patients, based on guidance from </w:t>
      </w:r>
      <w:r w:rsidRPr="00392C97">
        <w:t>Neuro Anaes</w:t>
      </w:r>
      <w:r w:rsidR="00BD2DDD">
        <w:t>thesia and</w:t>
      </w:r>
      <w:r w:rsidRPr="00392C97">
        <w:t xml:space="preserve"> Critical Care Society of Great Britain and Ireland (NACCS)</w:t>
      </w:r>
      <w:r w:rsidRPr="00356F51">
        <w:t xml:space="preserve">, </w:t>
      </w:r>
      <w:r w:rsidR="00D97617">
        <w:t xml:space="preserve">Association of Anaesthetists </w:t>
      </w:r>
      <w:r w:rsidRPr="00356F51">
        <w:t>and the Intensive Care Society.</w:t>
      </w:r>
      <w:bookmarkStart w:id="9" w:name="_Ref433969650"/>
      <w:r w:rsidRPr="00D97617">
        <w:rPr>
          <w:vertAlign w:val="superscript"/>
        </w:rPr>
        <w:t xml:space="preserve"> </w:t>
      </w:r>
      <w:r w:rsidRPr="00356F51">
        <w:rPr>
          <w:vertAlign w:val="superscript"/>
        </w:rPr>
        <w:endnoteReference w:id="33"/>
      </w:r>
      <w:bookmarkEnd w:id="9"/>
    </w:p>
    <w:p w14:paraId="1DE0336B" w14:textId="5D824717" w:rsidR="002D43E6" w:rsidRPr="00350A50" w:rsidRDefault="002D43E6" w:rsidP="00D97617">
      <w:pPr>
        <w:pStyle w:val="recommendation"/>
        <w:numPr>
          <w:ilvl w:val="1"/>
          <w:numId w:val="1"/>
        </w:numPr>
        <w:ind w:left="567" w:hanging="567"/>
      </w:pPr>
      <w:r w:rsidRPr="00350A50">
        <w:t xml:space="preserve">Each department should appoint a designated liaison </w:t>
      </w:r>
      <w:r w:rsidRPr="00E75834">
        <w:t>consultant</w:t>
      </w:r>
      <w:r w:rsidRPr="00350A50">
        <w:t xml:space="preserve"> responsible for identifying the strategic pathways and logistical pitfalls of</w:t>
      </w:r>
      <w:r>
        <w:t xml:space="preserve"> the</w:t>
      </w:r>
      <w:r w:rsidRPr="00350A50">
        <w:t xml:space="preserve"> intra</w:t>
      </w:r>
      <w:r>
        <w:t>-</w:t>
      </w:r>
      <w:r w:rsidRPr="00350A50">
        <w:t xml:space="preserve">hospital transfer of neurosurgical patients. The appointment should ensure </w:t>
      </w:r>
      <w:r>
        <w:t xml:space="preserve">any identified </w:t>
      </w:r>
      <w:r w:rsidRPr="00350A50">
        <w:t xml:space="preserve">problems are </w:t>
      </w:r>
      <w:r>
        <w:t>either</w:t>
      </w:r>
      <w:r w:rsidRPr="00350A50">
        <w:t xml:space="preserve"> removed or mitigated.</w:t>
      </w:r>
    </w:p>
    <w:p w14:paraId="3D214E49" w14:textId="77777777" w:rsidR="002D43E6" w:rsidRPr="00356F51" w:rsidRDefault="002D43E6" w:rsidP="00DC2142">
      <w:pPr>
        <w:pStyle w:val="Heading3"/>
      </w:pPr>
      <w:r w:rsidRPr="00492FD7">
        <w:t>Postoperative</w:t>
      </w:r>
    </w:p>
    <w:p w14:paraId="41C52C1F" w14:textId="4F716963" w:rsidR="002D43E6" w:rsidRPr="00356F51" w:rsidRDefault="002D43E6" w:rsidP="00D97617">
      <w:pPr>
        <w:pStyle w:val="recommendation"/>
        <w:numPr>
          <w:ilvl w:val="1"/>
          <w:numId w:val="1"/>
        </w:numPr>
        <w:ind w:left="567" w:hanging="567"/>
      </w:pPr>
      <w:r>
        <w:t xml:space="preserve">Communication with critical care should occur at </w:t>
      </w:r>
      <w:r w:rsidR="00E75834">
        <w:t>the earliest possible time (pre</w:t>
      </w:r>
      <w:r>
        <w:t>operative clinic letter) to enhance the appropriate allocation of beds.</w:t>
      </w:r>
    </w:p>
    <w:p w14:paraId="443A86CA" w14:textId="6EBDCD33" w:rsidR="002D43E6" w:rsidRPr="00356F51" w:rsidRDefault="002D43E6" w:rsidP="00D97617">
      <w:pPr>
        <w:pStyle w:val="recommendation"/>
        <w:numPr>
          <w:ilvl w:val="1"/>
          <w:numId w:val="1"/>
        </w:numPr>
        <w:ind w:left="567" w:hanging="567"/>
      </w:pPr>
      <w:r w:rsidRPr="00356F51">
        <w:t>Standardisation of the handover process can improve patient care by ensuring information comple</w:t>
      </w:r>
      <w:r>
        <w:t>teness, accuracy and efficiency.</w:t>
      </w:r>
      <w:r w:rsidRPr="00356F51">
        <w:rPr>
          <w:rStyle w:val="EndnoteReference"/>
          <w:rFonts w:asciiTheme="minorHAnsi" w:hAnsiTheme="minorHAnsi"/>
        </w:rPr>
        <w:endnoteReference w:id="34"/>
      </w:r>
      <w:r w:rsidRPr="00356F51">
        <w:rPr>
          <w:vertAlign w:val="superscript"/>
        </w:rPr>
        <w:t>,</w:t>
      </w:r>
      <w:r w:rsidRPr="00356F51">
        <w:rPr>
          <w:rStyle w:val="EndnoteReference"/>
          <w:rFonts w:asciiTheme="minorHAnsi" w:hAnsiTheme="minorHAnsi"/>
        </w:rPr>
        <w:endnoteReference w:id="35"/>
      </w:r>
      <w:r w:rsidRPr="00356F51">
        <w:t xml:space="preserve"> The use of perioperative care bundles should be considered.</w:t>
      </w:r>
      <w:r w:rsidRPr="00356F51">
        <w:rPr>
          <w:rStyle w:val="EndnoteReference"/>
          <w:rFonts w:asciiTheme="minorHAnsi" w:hAnsiTheme="minorHAnsi"/>
        </w:rPr>
        <w:endnoteReference w:id="36"/>
      </w:r>
    </w:p>
    <w:p w14:paraId="1451D1F2" w14:textId="218DBF03" w:rsidR="002D43E6" w:rsidRPr="00356F51" w:rsidRDefault="002D43E6" w:rsidP="00D97617">
      <w:pPr>
        <w:pStyle w:val="recommendation"/>
        <w:numPr>
          <w:ilvl w:val="1"/>
          <w:numId w:val="1"/>
        </w:numPr>
        <w:ind w:left="567" w:hanging="567"/>
      </w:pPr>
      <w:r w:rsidRPr="00356F51">
        <w:t>The 24</w:t>
      </w:r>
      <w:r w:rsidR="004D0F8A">
        <w:t>/7</w:t>
      </w:r>
      <w:r w:rsidRPr="00356F51">
        <w:t xml:space="preserve"> acute pain service should be available for postoperative neurosurgical patients and be trained to address the specific needs of neurosurgical patients such as those with impaired communication.</w:t>
      </w:r>
    </w:p>
    <w:p w14:paraId="21EFED3C" w14:textId="77777777" w:rsidR="002D43E6" w:rsidRPr="00D36158" w:rsidRDefault="002D43E6" w:rsidP="00D97617">
      <w:pPr>
        <w:pStyle w:val="recommendation"/>
        <w:numPr>
          <w:ilvl w:val="1"/>
          <w:numId w:val="1"/>
        </w:numPr>
        <w:ind w:left="567" w:hanging="567"/>
      </w:pPr>
      <w:r w:rsidRPr="00356F51">
        <w:t>Pain is a useful outcome measure for audit.</w:t>
      </w:r>
      <w:bookmarkStart w:id="10" w:name="_Ref489970215"/>
      <w:r w:rsidRPr="00356F51">
        <w:rPr>
          <w:rStyle w:val="EndnoteReference"/>
          <w:rFonts w:asciiTheme="minorHAnsi" w:hAnsiTheme="minorHAnsi"/>
        </w:rPr>
        <w:endnoteReference w:id="37"/>
      </w:r>
      <w:bookmarkEnd w:id="10"/>
      <w:r w:rsidRPr="00356F51">
        <w:rPr>
          <w:vertAlign w:val="superscript"/>
        </w:rPr>
        <w:t>,</w:t>
      </w:r>
      <w:r w:rsidRPr="00356F51">
        <w:rPr>
          <w:rStyle w:val="EndnoteReference"/>
          <w:rFonts w:asciiTheme="minorHAnsi" w:hAnsiTheme="minorHAnsi"/>
        </w:rPr>
        <w:endnoteReference w:id="38"/>
      </w:r>
      <w:r w:rsidRPr="00356F51">
        <w:t xml:space="preserve"> The utility of specific local and regional techniques for neurosurgical patients is established and pain teams should be aware of these.</w:t>
      </w:r>
      <w:r w:rsidRPr="00356F51">
        <w:rPr>
          <w:rStyle w:val="EndnoteReference"/>
          <w:rFonts w:asciiTheme="minorHAnsi" w:hAnsiTheme="minorHAnsi"/>
        </w:rPr>
        <w:endnoteReference w:id="39"/>
      </w:r>
    </w:p>
    <w:p w14:paraId="0C6CD2BE" w14:textId="77777777" w:rsidR="002D43E6" w:rsidRPr="00492FD7" w:rsidRDefault="002D43E6" w:rsidP="00DC2142">
      <w:pPr>
        <w:pStyle w:val="Heading3"/>
      </w:pPr>
      <w:r w:rsidRPr="00492FD7">
        <w:t>Guidelines</w:t>
      </w:r>
    </w:p>
    <w:p w14:paraId="45DD827D" w14:textId="2693C428" w:rsidR="002D43E6" w:rsidRPr="00356F51" w:rsidRDefault="002D43E6" w:rsidP="0033370C">
      <w:pPr>
        <w:spacing w:after="120"/>
        <w:ind w:left="567" w:hanging="567"/>
      </w:pPr>
      <w:r w:rsidRPr="00FB1DAA">
        <w:rPr>
          <w:color w:val="50ABBF" w:themeColor="accent2"/>
        </w:rPr>
        <w:t>5.17</w:t>
      </w:r>
      <w:r w:rsidRPr="00356F51">
        <w:tab/>
      </w:r>
      <w:r w:rsidRPr="00D97617">
        <w:rPr>
          <w:rStyle w:val="recommendationChar"/>
        </w:rPr>
        <w:t xml:space="preserve">General intraoperative policies outlined in </w:t>
      </w:r>
      <w:hyperlink r:id="rId17" w:history="1">
        <w:r w:rsidR="000C7102" w:rsidRPr="00BD2DDD">
          <w:rPr>
            <w:rStyle w:val="Hyperlink"/>
            <w:sz w:val="20"/>
            <w:lang w:eastAsia="en-GB"/>
          </w:rPr>
          <w:t>c</w:t>
        </w:r>
        <w:r w:rsidRPr="00BD2DDD">
          <w:rPr>
            <w:rStyle w:val="Hyperlink"/>
            <w:sz w:val="20"/>
            <w:lang w:eastAsia="en-GB"/>
          </w:rPr>
          <w:t>hapter 3</w:t>
        </w:r>
      </w:hyperlink>
      <w:r w:rsidRPr="00D97617">
        <w:rPr>
          <w:rStyle w:val="recommendationChar"/>
        </w:rPr>
        <w:t xml:space="preserve"> should be held and easily accessible. The following</w:t>
      </w:r>
      <w:r w:rsidRPr="00356F51">
        <w:t xml:space="preserve"> policies for neuroanaesthesia should also be available:</w:t>
      </w:r>
    </w:p>
    <w:p w14:paraId="5DE3C97A" w14:textId="54708D1B" w:rsidR="002D43E6" w:rsidRPr="00356F51" w:rsidRDefault="000E5F8C" w:rsidP="00D97617">
      <w:pPr>
        <w:pStyle w:val="bullet2"/>
      </w:pPr>
      <w:r>
        <w:t>m</w:t>
      </w:r>
      <w:r w:rsidR="002D43E6" w:rsidRPr="00356F51">
        <w:t>anagement and transfer of neuroscience patients</w:t>
      </w:r>
      <w:r w:rsidR="00881D31">
        <w:rPr>
          <w:rStyle w:val="EndnoteReference"/>
        </w:rPr>
        <w:endnoteReference w:id="40"/>
      </w:r>
    </w:p>
    <w:p w14:paraId="06B545E2" w14:textId="44CD8D26" w:rsidR="002D43E6" w:rsidRPr="00356F51" w:rsidRDefault="002D43E6" w:rsidP="00D97617">
      <w:pPr>
        <w:pStyle w:val="bullet2"/>
      </w:pPr>
      <w:r w:rsidRPr="00356F51">
        <w:t xml:space="preserve">CPR </w:t>
      </w:r>
      <w:r>
        <w:t xml:space="preserve">for patients with their head pinned and for those </w:t>
      </w:r>
      <w:r w:rsidRPr="00356F51">
        <w:t xml:space="preserve">in the </w:t>
      </w:r>
      <w:r>
        <w:t>non-supine</w:t>
      </w:r>
      <w:r w:rsidRPr="00356F51">
        <w:t xml:space="preserve"> position</w:t>
      </w:r>
    </w:p>
    <w:p w14:paraId="7346AC8A" w14:textId="0E15A409" w:rsidR="002D43E6" w:rsidRDefault="000E5F8C" w:rsidP="00D97617">
      <w:pPr>
        <w:pStyle w:val="bullet2"/>
        <w:spacing w:after="200"/>
      </w:pPr>
      <w:r>
        <w:t>p</w:t>
      </w:r>
      <w:r w:rsidR="002D43E6" w:rsidRPr="00356F51">
        <w:t>atients with severe head injury</w:t>
      </w:r>
      <w:r w:rsidR="002D43E6">
        <w:t>.</w:t>
      </w:r>
    </w:p>
    <w:p w14:paraId="79527A9B" w14:textId="7DA50544" w:rsidR="002D43E6" w:rsidRPr="00131913" w:rsidRDefault="002D43E6" w:rsidP="00D97617">
      <w:pPr>
        <w:pStyle w:val="Heading3"/>
        <w:numPr>
          <w:ilvl w:val="0"/>
          <w:numId w:val="1"/>
        </w:numPr>
        <w:ind w:left="567" w:hanging="567"/>
        <w:rPr>
          <w:color w:val="CD6084" w:themeColor="accent5"/>
          <w:sz w:val="24"/>
        </w:rPr>
      </w:pPr>
      <w:r w:rsidRPr="00131913">
        <w:rPr>
          <w:color w:val="CD6084" w:themeColor="accent5"/>
          <w:sz w:val="24"/>
        </w:rPr>
        <w:t>Financial considerations</w:t>
      </w:r>
    </w:p>
    <w:p w14:paraId="6C369367" w14:textId="77777777" w:rsidR="002D43E6" w:rsidRPr="00356F51" w:rsidRDefault="002D43E6" w:rsidP="00D97617">
      <w:r w:rsidRPr="00356F51">
        <w:t>Part of the methodology used in this chapter in making recommendations is a consideration of the financial impact for each of the recommendations. Very few of the literature sources from which these recommendations have been drawn have included financial analysis.</w:t>
      </w:r>
    </w:p>
    <w:p w14:paraId="04C1C371" w14:textId="77777777" w:rsidR="002D43E6" w:rsidRPr="00356F51" w:rsidRDefault="002D43E6" w:rsidP="00D97617">
      <w:r w:rsidRPr="00356F51">
        <w:t>The vast majority of the recommendations are not new recommendations, but they are a synthesis of already existing recommendations. The current compliance rates with many of the recommendations are unknown, and so it is not possible to calculate the financial impact of the recommendations in this chapter being widely accepted into future practice. It is impossible to make an overall assessment of the financial impact of these recommendations with the currently available information.</w:t>
      </w:r>
    </w:p>
    <w:p w14:paraId="1873849E" w14:textId="77777777" w:rsidR="002D43E6" w:rsidRPr="00D97617" w:rsidRDefault="002D43E6" w:rsidP="009A0AC1">
      <w:pPr>
        <w:spacing w:after="240"/>
        <w:ind w:left="567" w:hanging="567"/>
        <w:rPr>
          <w:rStyle w:val="recommendationChar"/>
        </w:rPr>
      </w:pPr>
      <w:r w:rsidRPr="000E5F8C">
        <w:rPr>
          <w:color w:val="50ABBF" w:themeColor="accent2"/>
        </w:rPr>
        <w:t>6.1</w:t>
      </w:r>
      <w:r w:rsidRPr="00356F51">
        <w:tab/>
      </w:r>
      <w:r w:rsidRPr="00D97617">
        <w:rPr>
          <w:rStyle w:val="recommendationChar"/>
        </w:rPr>
        <w:t>It is recognised that equipment for neurosurgical patients can be expensive and this should be considered through business models.</w:t>
      </w:r>
    </w:p>
    <w:p w14:paraId="22B36E94" w14:textId="022A01E4" w:rsidR="002D43E6" w:rsidRPr="00131913" w:rsidRDefault="002D43E6" w:rsidP="00D97617">
      <w:pPr>
        <w:pStyle w:val="Heading3"/>
        <w:numPr>
          <w:ilvl w:val="0"/>
          <w:numId w:val="1"/>
        </w:numPr>
        <w:ind w:left="567" w:hanging="567"/>
        <w:rPr>
          <w:color w:val="CD6084" w:themeColor="accent5"/>
          <w:sz w:val="24"/>
        </w:rPr>
      </w:pPr>
      <w:r w:rsidRPr="00131913">
        <w:rPr>
          <w:color w:val="CD6084" w:themeColor="accent5"/>
          <w:sz w:val="24"/>
        </w:rPr>
        <w:lastRenderedPageBreak/>
        <w:t xml:space="preserve">Research, audit and quality improvement </w:t>
      </w:r>
    </w:p>
    <w:p w14:paraId="58A5DAB0" w14:textId="7DDC93B2" w:rsidR="002D43E6" w:rsidRPr="00356F51" w:rsidRDefault="002D43E6" w:rsidP="00D97617">
      <w:pPr>
        <w:pStyle w:val="recommendation"/>
        <w:numPr>
          <w:ilvl w:val="1"/>
          <w:numId w:val="1"/>
        </w:numPr>
        <w:ind w:left="567" w:hanging="567"/>
      </w:pPr>
      <w:r w:rsidRPr="00356F51">
        <w:t>Departments of neuroanaesthesia should be encouraged to develop research interests, even if not part of an academic department. Research collaboration with other neuroscience disciplines is good practice. Taking part in national anaesthesia and critical care projects is to be encouraged.</w:t>
      </w:r>
      <w:r>
        <w:rPr>
          <w:vertAlign w:val="superscript"/>
        </w:rPr>
        <w:t>33</w:t>
      </w:r>
      <w:r w:rsidRPr="00356F51">
        <w:rPr>
          <w:vertAlign w:val="superscript"/>
        </w:rPr>
        <w:t>,</w:t>
      </w:r>
      <w:r w:rsidRPr="00356F51">
        <w:rPr>
          <w:rStyle w:val="EndnoteReference"/>
          <w:rFonts w:asciiTheme="minorHAnsi" w:hAnsiTheme="minorHAnsi"/>
        </w:rPr>
        <w:endnoteReference w:id="41"/>
      </w:r>
      <w:r>
        <w:rPr>
          <w:vertAlign w:val="superscript"/>
        </w:rPr>
        <w:t xml:space="preserve"> </w:t>
      </w:r>
    </w:p>
    <w:p w14:paraId="6DC3713E" w14:textId="39591A55" w:rsidR="002D43E6" w:rsidRPr="00356F51" w:rsidRDefault="002D43E6" w:rsidP="00D97617">
      <w:pPr>
        <w:pStyle w:val="recommendation"/>
        <w:numPr>
          <w:ilvl w:val="1"/>
          <w:numId w:val="1"/>
        </w:numPr>
        <w:ind w:left="567" w:hanging="567"/>
      </w:pPr>
      <w:r w:rsidRPr="00356F51">
        <w:t>Audit programmes should be developed locally but should include contin</w:t>
      </w:r>
      <w:r w:rsidR="000C7102">
        <w:t xml:space="preserve">uous audit of transfer of brain </w:t>
      </w:r>
      <w:r w:rsidRPr="00356F51">
        <w:t xml:space="preserve">injured patients, neurocritical care capacity and demand, rates of unplanned admission and readmission to the intensive care unit, and the caseload of trainees. In general, local practice should be audited against </w:t>
      </w:r>
      <w:r w:rsidRPr="009B100D">
        <w:t xml:space="preserve">compliance rates with </w:t>
      </w:r>
      <w:r w:rsidRPr="00356F51">
        <w:t>national and expert consensus guidelines.</w:t>
      </w:r>
      <w:r>
        <w:rPr>
          <w:vertAlign w:val="superscript"/>
        </w:rPr>
        <w:t>33</w:t>
      </w:r>
      <w:r w:rsidRPr="00356F51">
        <w:rPr>
          <w:vertAlign w:val="superscript"/>
        </w:rPr>
        <w:t>,</w:t>
      </w:r>
      <w:r w:rsidRPr="00356F51">
        <w:rPr>
          <w:rStyle w:val="EndnoteReference"/>
          <w:rFonts w:asciiTheme="minorHAnsi" w:hAnsiTheme="minorHAnsi"/>
        </w:rPr>
        <w:endnoteReference w:id="42"/>
      </w:r>
    </w:p>
    <w:p w14:paraId="7DDC5985" w14:textId="77777777" w:rsidR="002D43E6" w:rsidRPr="00356F51" w:rsidRDefault="002D43E6" w:rsidP="00D97617">
      <w:pPr>
        <w:pStyle w:val="recommendation"/>
        <w:numPr>
          <w:ilvl w:val="1"/>
          <w:numId w:val="1"/>
        </w:numPr>
        <w:ind w:left="567" w:hanging="567"/>
      </w:pPr>
      <w:r w:rsidRPr="00356F51">
        <w:t xml:space="preserve">Collaborative audit with the other neuroscience disciplines should be encouraged. </w:t>
      </w:r>
    </w:p>
    <w:p w14:paraId="09634938" w14:textId="77777777" w:rsidR="002D43E6" w:rsidRPr="00356F51" w:rsidRDefault="002D43E6" w:rsidP="00D97617">
      <w:pPr>
        <w:pStyle w:val="recommendation"/>
        <w:numPr>
          <w:ilvl w:val="1"/>
          <w:numId w:val="1"/>
        </w:numPr>
        <w:ind w:left="567" w:hanging="567"/>
      </w:pPr>
      <w:r w:rsidRPr="00356F51">
        <w:t>Regular morbidity and mortality meetings should be held jointly with neurosurgeons</w:t>
      </w:r>
      <w:r>
        <w:t>, interventional neuroradiologists and other relevant stakeholders</w:t>
      </w:r>
      <w:r w:rsidRPr="00356F51">
        <w:t xml:space="preserve">. </w:t>
      </w:r>
    </w:p>
    <w:p w14:paraId="40FC8D3C" w14:textId="733FA00F" w:rsidR="002D43E6" w:rsidRDefault="002D43E6" w:rsidP="00D97617">
      <w:pPr>
        <w:pStyle w:val="recommendation"/>
        <w:numPr>
          <w:ilvl w:val="1"/>
          <w:numId w:val="1"/>
        </w:numPr>
        <w:ind w:left="567" w:hanging="567"/>
      </w:pPr>
      <w:r w:rsidRPr="00356F51">
        <w:t>Departments should be encouraged to maintain active links to</w:t>
      </w:r>
      <w:r w:rsidR="00E75834">
        <w:t xml:space="preserve"> national bodies and societies, </w:t>
      </w:r>
      <w:r w:rsidR="00FB1DAA">
        <w:t>e</w:t>
      </w:r>
      <w:r w:rsidR="00E75834">
        <w:t>.</w:t>
      </w:r>
      <w:r w:rsidR="00FB1DAA">
        <w:t>g</w:t>
      </w:r>
      <w:r w:rsidR="00E75834">
        <w:t>.</w:t>
      </w:r>
      <w:r w:rsidRPr="00356F51">
        <w:t xml:space="preserve"> </w:t>
      </w:r>
      <w:hyperlink r:id="rId18" w:history="1">
        <w:r w:rsidRPr="00D97617">
          <w:rPr>
            <w:rStyle w:val="Hyperlink"/>
            <w:rFonts w:asciiTheme="minorHAnsi" w:hAnsiTheme="minorHAnsi"/>
            <w:sz w:val="20"/>
          </w:rPr>
          <w:t>NACCS Linkman Scheme</w:t>
        </w:r>
      </w:hyperlink>
      <w:r w:rsidR="00E75834" w:rsidRPr="00D97617">
        <w:rPr>
          <w:rStyle w:val="Hyperlink"/>
          <w:rFonts w:asciiTheme="minorHAnsi" w:hAnsiTheme="minorHAnsi"/>
          <w:sz w:val="20"/>
        </w:rPr>
        <w:t>,</w:t>
      </w:r>
      <w:r w:rsidRPr="00D97617">
        <w:rPr>
          <w:sz w:val="22"/>
        </w:rPr>
        <w:t xml:space="preserve"> </w:t>
      </w:r>
      <w:r w:rsidRPr="00356F51">
        <w:t>to facilitate national audit and dissemination of information.</w:t>
      </w:r>
    </w:p>
    <w:p w14:paraId="33C310DD" w14:textId="2291E43B" w:rsidR="002D43E6" w:rsidRPr="00131913" w:rsidRDefault="002D43E6" w:rsidP="00740CE2">
      <w:pPr>
        <w:pStyle w:val="Heading3"/>
        <w:numPr>
          <w:ilvl w:val="0"/>
          <w:numId w:val="1"/>
        </w:numPr>
        <w:ind w:left="567" w:hanging="567"/>
        <w:rPr>
          <w:color w:val="CD6084" w:themeColor="accent5"/>
          <w:sz w:val="24"/>
        </w:rPr>
      </w:pPr>
      <w:r w:rsidRPr="00131913">
        <w:rPr>
          <w:color w:val="CD6084" w:themeColor="accent5"/>
          <w:sz w:val="24"/>
        </w:rPr>
        <w:t>Implementation support</w:t>
      </w:r>
    </w:p>
    <w:p w14:paraId="36FAE1C8" w14:textId="77777777" w:rsidR="00F327A6" w:rsidRDefault="00F327A6" w:rsidP="00F327A6">
      <w:pPr>
        <w:spacing w:after="240"/>
        <w:ind w:left="-11"/>
      </w:pPr>
      <w:r>
        <w:t xml:space="preserve">The Anaesthesia Clinical Services Accreditation (ACSA) scheme, run by the RCoA, aims to provide support for departments of anaesthesia to implement the recommendations contained in the GPAS chapters. The scheme provides a set of standards, and asks departments of anaesthesia to benchmark themselves against these using a self-assessment form available on the RCoA website. Every standard in ACSA is based on recommendation(s) contained in GPAS. The ACSA standards are reviewed annually and republished approximately four months after GPAS review and republication to ensure that they reflect current GPAS recommendations. ACSA standards include links to the relevant GPAS recommendations so that departments can refer to them while working through their gap analyses. </w:t>
      </w:r>
    </w:p>
    <w:p w14:paraId="51B4999C" w14:textId="77777777" w:rsidR="00F327A6" w:rsidRDefault="00F327A6" w:rsidP="00F327A6">
      <w:pPr>
        <w:spacing w:after="240"/>
        <w:ind w:left="-11"/>
      </w:pPr>
      <w:r>
        <w:t>Departments of anaesthesia can subscribe to the ACSA process on payment of an appropriate fee. Once subscribed, they are provided with a ‘College guide’ (a member of the RCoA working group that oversees the process), or an experienced reviewer to assist them with identifying actions required to meet the standards. Departments must demonstrate adherence to all ‘priority one’ standards listed in the standards document to receive accreditation from the RCoA. This is confirmed during a visit to the department by a group of four ACSA reviewers (two clinical reviewers, a lay reviewer and an administrator), who submit a report back to the ACSA committee.</w:t>
      </w:r>
    </w:p>
    <w:p w14:paraId="1875DB5A" w14:textId="77777777" w:rsidR="00F327A6" w:rsidRDefault="00F327A6" w:rsidP="00F327A6">
      <w:pPr>
        <w:spacing w:after="240"/>
        <w:ind w:left="-11"/>
      </w:pPr>
      <w:r>
        <w:t xml:space="preserve">The ACSA committee has committed to building a ‘good practice library’, which will be used to collect and share documentation such as policies and checklists, as well as case studies of how departments have overcome barriers to implementation of the standards, or have implemented the standards in innovative ways. </w:t>
      </w:r>
    </w:p>
    <w:p w14:paraId="2008FEE2" w14:textId="7C6CD1D3" w:rsidR="002D43E6" w:rsidRDefault="00F327A6" w:rsidP="00F327A6">
      <w:pPr>
        <w:spacing w:after="240"/>
        <w:ind w:left="-11"/>
      </w:pPr>
      <w:r>
        <w:t>One of the outcomes of the ACSA process is to test the standards (and by doing so to test the GPAS recommendations) to ensure that they can be implemented by departments of anaesthesia and to consider any difficulties that may result from implementation. The ACSA committee has committed to measuring and reporting feedback of this type from departments engaging in the scheme back to the CDGs updating the guidance via the GPAS technical team</w:t>
      </w:r>
      <w:r w:rsidR="00D97617">
        <w:t>.</w:t>
      </w:r>
    </w:p>
    <w:p w14:paraId="1426D8A1" w14:textId="75D71642" w:rsidR="002D43E6" w:rsidRPr="00131913" w:rsidRDefault="002D43E6" w:rsidP="00D97617">
      <w:pPr>
        <w:pStyle w:val="Heading3"/>
        <w:numPr>
          <w:ilvl w:val="0"/>
          <w:numId w:val="1"/>
        </w:numPr>
        <w:ind w:left="567" w:hanging="567"/>
        <w:rPr>
          <w:color w:val="CD6084" w:themeColor="accent5"/>
          <w:sz w:val="24"/>
        </w:rPr>
      </w:pPr>
      <w:r w:rsidRPr="00131913">
        <w:rPr>
          <w:color w:val="CD6084" w:themeColor="accent5"/>
          <w:sz w:val="24"/>
        </w:rPr>
        <w:lastRenderedPageBreak/>
        <w:t>Patient information</w:t>
      </w:r>
    </w:p>
    <w:p w14:paraId="315158A1" w14:textId="5CAC1FC9" w:rsidR="002D43E6" w:rsidRPr="00356F51" w:rsidRDefault="002D43E6" w:rsidP="00D97617">
      <w:pPr>
        <w:pStyle w:val="recommendation"/>
        <w:numPr>
          <w:ilvl w:val="1"/>
          <w:numId w:val="1"/>
        </w:numPr>
        <w:ind w:left="567" w:hanging="567"/>
      </w:pPr>
      <w:r w:rsidRPr="00356F51">
        <w:t>Each department should provide written information specific to neurosurgical procedures, including relevant risks for surgery conducted in the prone position and postoperative vis</w:t>
      </w:r>
      <w:r>
        <w:t>ual</w:t>
      </w:r>
      <w:r w:rsidRPr="00356F51">
        <w:t xml:space="preserve"> loss</w:t>
      </w:r>
      <w:r>
        <w:t xml:space="preserve"> (POVL)</w:t>
      </w:r>
      <w:r w:rsidRPr="00356F51">
        <w:t xml:space="preserve">. </w:t>
      </w:r>
    </w:p>
    <w:p w14:paraId="18C1DE8D" w14:textId="2EC798D1" w:rsidR="002D43E6" w:rsidRPr="00356F51" w:rsidRDefault="002D43E6" w:rsidP="00D97617">
      <w:pPr>
        <w:pStyle w:val="recommendation"/>
        <w:numPr>
          <w:ilvl w:val="1"/>
          <w:numId w:val="1"/>
        </w:numPr>
        <w:ind w:left="567" w:hanging="567"/>
      </w:pPr>
      <w:r w:rsidRPr="00356F51">
        <w:t>All patients (and relatives where appropriate and relevant) should be fully informed about the planned procedure and be encouraged to be active participants in decisions about their care. Recommendations about the provision of information and consen</w:t>
      </w:r>
      <w:r w:rsidR="00D97617">
        <w:t xml:space="preserve">t processes outlined in </w:t>
      </w:r>
      <w:hyperlink r:id="rId19" w:history="1">
        <w:r w:rsidR="00D97617" w:rsidRPr="00BD2DDD">
          <w:rPr>
            <w:rStyle w:val="Hyperlink"/>
            <w:sz w:val="20"/>
          </w:rPr>
          <w:t>c</w:t>
        </w:r>
        <w:r w:rsidRPr="00BD2DDD">
          <w:rPr>
            <w:rStyle w:val="Hyperlink"/>
            <w:sz w:val="20"/>
          </w:rPr>
          <w:t>hapter 2</w:t>
        </w:r>
      </w:hyperlink>
      <w:r w:rsidRPr="00356F51">
        <w:t xml:space="preserve"> should be followed.</w:t>
      </w:r>
      <w:r w:rsidR="00D97617">
        <w:rPr>
          <w:rStyle w:val="EndnoteReference"/>
        </w:rPr>
        <w:endnoteReference w:id="43"/>
      </w:r>
      <w:r>
        <w:t xml:space="preserve"> </w:t>
      </w:r>
    </w:p>
    <w:p w14:paraId="60837454" w14:textId="77777777" w:rsidR="002D43E6" w:rsidRPr="00356F51" w:rsidRDefault="002D43E6" w:rsidP="00D97617">
      <w:pPr>
        <w:pStyle w:val="recommendation"/>
        <w:numPr>
          <w:ilvl w:val="1"/>
          <w:numId w:val="1"/>
        </w:numPr>
        <w:ind w:left="567" w:hanging="567"/>
      </w:pPr>
      <w:r w:rsidRPr="00933CA3">
        <w:t>Although separate written consent for anaesthesia is not mandatory in the UK, there should be a written record of all discussions, including those of the requesting clinician, with patients undergoing sedation or anaesthesia for diagnostic procedures such as MRI scans. Discussion should include methods of induction, associated risks, side effects and potential benefits of the procedure. It is not the responsibility of the anaesthetist to explain th</w:t>
      </w:r>
      <w:r>
        <w:t>e indications for the procedure</w:t>
      </w:r>
      <w:r w:rsidRPr="00356F51">
        <w:t>.</w:t>
      </w:r>
      <w:r w:rsidRPr="00356F51">
        <w:rPr>
          <w:rStyle w:val="EndnoteReference"/>
        </w:rPr>
        <w:endnoteReference w:id="44"/>
      </w:r>
    </w:p>
    <w:p w14:paraId="2E12A1B1" w14:textId="52DC4F3B" w:rsidR="002D43E6" w:rsidRPr="00356F51" w:rsidRDefault="002D43E6" w:rsidP="00D97617">
      <w:pPr>
        <w:pStyle w:val="recommendation"/>
        <w:numPr>
          <w:ilvl w:val="1"/>
          <w:numId w:val="1"/>
        </w:numPr>
        <w:ind w:left="567" w:hanging="567"/>
      </w:pPr>
      <w:r w:rsidRPr="00356F51">
        <w:t xml:space="preserve">The scope of the authority that has been given by a patient should not be exceeded except in an emergency. In an emergency clinical situation in which it is not possible to find out a patient’s wishes, a patient </w:t>
      </w:r>
      <w:r>
        <w:t>should</w:t>
      </w:r>
      <w:r w:rsidRPr="00356F51">
        <w:t xml:space="preserve"> be treated without their consent, provided the treatment is immediately necessary to save their life or to prevent a serious deterioration of their condition. The treatment provided should be the least restrictive of the patient’s future choices.</w:t>
      </w:r>
      <w:r w:rsidRPr="00356F51">
        <w:rPr>
          <w:rStyle w:val="EndnoteReference"/>
        </w:rPr>
        <w:endnoteReference w:id="45"/>
      </w:r>
      <w:r>
        <w:rPr>
          <w:vertAlign w:val="superscript"/>
        </w:rPr>
        <w:t>,</w:t>
      </w:r>
      <w:r>
        <w:rPr>
          <w:rStyle w:val="EndnoteReference"/>
        </w:rPr>
        <w:endnoteReference w:id="46"/>
      </w:r>
      <w:r>
        <w:rPr>
          <w:vertAlign w:val="superscript"/>
        </w:rPr>
        <w:t>,</w:t>
      </w:r>
      <w:r>
        <w:rPr>
          <w:rStyle w:val="EndnoteReference"/>
        </w:rPr>
        <w:endnoteReference w:id="47"/>
      </w:r>
      <w:r>
        <w:rPr>
          <w:vertAlign w:val="superscript"/>
        </w:rPr>
        <w:t>,</w:t>
      </w:r>
      <w:r>
        <w:rPr>
          <w:rStyle w:val="EndnoteReference"/>
        </w:rPr>
        <w:endnoteReference w:id="48"/>
      </w:r>
    </w:p>
    <w:p w14:paraId="1BD1E1B7" w14:textId="5FE33B54" w:rsidR="00C60422" w:rsidRPr="00356F51" w:rsidRDefault="00C94F81" w:rsidP="009A0AC1">
      <w:pPr>
        <w:pStyle w:val="Heading2"/>
      </w:pPr>
      <w:r w:rsidRPr="00356F51">
        <w:t xml:space="preserve">Areas for </w:t>
      </w:r>
      <w:r w:rsidR="009A0AC1">
        <w:t>future development</w:t>
      </w:r>
    </w:p>
    <w:p w14:paraId="5DCCD7DC" w14:textId="77777777" w:rsidR="008A5B7D" w:rsidRPr="00356F51" w:rsidRDefault="000717E6" w:rsidP="0033370C">
      <w:r w:rsidRPr="00356F51">
        <w:t>We recommend that further consideration be given to</w:t>
      </w:r>
      <w:r w:rsidR="00BF3E29">
        <w:t xml:space="preserve"> research in the following </w:t>
      </w:r>
      <w:r w:rsidR="003F4A86" w:rsidRPr="003F4A86">
        <w:t>areas:</w:t>
      </w:r>
    </w:p>
    <w:p w14:paraId="1681FD79" w14:textId="4F2605AC" w:rsidR="000717E6" w:rsidRPr="00356F51" w:rsidRDefault="009A0AC1" w:rsidP="00740CE2">
      <w:pPr>
        <w:pStyle w:val="bullets"/>
      </w:pPr>
      <w:r>
        <w:t>d</w:t>
      </w:r>
      <w:r w:rsidR="000717E6" w:rsidRPr="00356F51">
        <w:t>evelopment of day case neur</w:t>
      </w:r>
      <w:r>
        <w:t>osurgery including craniotomies</w:t>
      </w:r>
    </w:p>
    <w:p w14:paraId="13E5C9AD" w14:textId="19C3151F" w:rsidR="00A300BE" w:rsidRDefault="009A0AC1" w:rsidP="00740CE2">
      <w:pPr>
        <w:pStyle w:val="bullets"/>
      </w:pPr>
      <w:r>
        <w:t>e</w:t>
      </w:r>
      <w:r w:rsidR="00A300BE" w:rsidRPr="00356F51">
        <w:t xml:space="preserve">nhanced </w:t>
      </w:r>
      <w:r w:rsidR="003C51BF">
        <w:t>r</w:t>
      </w:r>
      <w:r w:rsidR="00F10CC2" w:rsidRPr="00356F51">
        <w:t xml:space="preserve">ecovery </w:t>
      </w:r>
      <w:r>
        <w:t>for neurosurgical patients</w:t>
      </w:r>
    </w:p>
    <w:p w14:paraId="7176A698" w14:textId="1A20DCEA" w:rsidR="00BF3E29" w:rsidRDefault="009A0AC1" w:rsidP="00740CE2">
      <w:pPr>
        <w:pStyle w:val="bullets"/>
      </w:pPr>
      <w:r>
        <w:t>t</w:t>
      </w:r>
      <w:r w:rsidR="00BF3E29" w:rsidRPr="0080698B">
        <w:t xml:space="preserve">he use of </w:t>
      </w:r>
      <w:r w:rsidR="00F10CC2" w:rsidRPr="00F10CC2">
        <w:rPr>
          <w:rFonts w:cs="Arial"/>
          <w:shd w:val="clear" w:color="auto" w:fill="FFFFFF"/>
        </w:rPr>
        <w:t>c</w:t>
      </w:r>
      <w:r w:rsidR="00740CE2">
        <w:rPr>
          <w:rFonts w:cs="Arial"/>
          <w:shd w:val="clear" w:color="auto" w:fill="FFFFFF"/>
        </w:rPr>
        <w:t xml:space="preserve">ardio </w:t>
      </w:r>
      <w:r w:rsidR="0080698B" w:rsidRPr="00F10CC2">
        <w:rPr>
          <w:rFonts w:cs="Arial"/>
          <w:shd w:val="clear" w:color="auto" w:fill="FFFFFF"/>
        </w:rPr>
        <w:t xml:space="preserve">pulmonary exercise testing </w:t>
      </w:r>
      <w:r w:rsidR="0080698B">
        <w:rPr>
          <w:rFonts w:cs="Arial"/>
          <w:color w:val="545454"/>
          <w:shd w:val="clear" w:color="auto" w:fill="FFFFFF"/>
        </w:rPr>
        <w:t>(</w:t>
      </w:r>
      <w:r w:rsidR="00BF3E29" w:rsidRPr="0080698B">
        <w:t>CPEX</w:t>
      </w:r>
      <w:r w:rsidR="0080698B">
        <w:t>)</w:t>
      </w:r>
      <w:r w:rsidR="00BF3E29" w:rsidRPr="0080698B">
        <w:t xml:space="preserve"> and other prognostic tools for</w:t>
      </w:r>
      <w:r w:rsidR="00BF3E29">
        <w:t xml:space="preserve"> neurosurgical patients</w:t>
      </w:r>
    </w:p>
    <w:p w14:paraId="6FE210A0" w14:textId="696CD66E" w:rsidR="00BF3E29" w:rsidRDefault="009A0AC1" w:rsidP="00740CE2">
      <w:pPr>
        <w:pStyle w:val="bullets"/>
      </w:pPr>
      <w:r w:rsidRPr="00E75834">
        <w:t>r</w:t>
      </w:r>
      <w:r w:rsidR="00BF3E29" w:rsidRPr="00E75834">
        <w:t>outine use of echocardiography following subarachnoid haemorrhage</w:t>
      </w:r>
    </w:p>
    <w:p w14:paraId="0F6B378B" w14:textId="38BEA5FA" w:rsidR="00E75834" w:rsidRPr="00E75834" w:rsidRDefault="00E75834" w:rsidP="00740CE2">
      <w:pPr>
        <w:pStyle w:val="bullets"/>
      </w:pPr>
      <w:r w:rsidRPr="00E75834">
        <w:t>utilisation of physicians' assistant (anaesthesia) for provision of neuroanaesthesia services in conjunction with consultants</w:t>
      </w:r>
    </w:p>
    <w:p w14:paraId="1E24819E" w14:textId="6A397F4F" w:rsidR="00C67DBD" w:rsidRPr="00356F51" w:rsidRDefault="009A0AC1" w:rsidP="00740CE2">
      <w:pPr>
        <w:pStyle w:val="bullets"/>
      </w:pPr>
      <w:r>
        <w:t>e</w:t>
      </w:r>
      <w:r w:rsidR="00C67DBD" w:rsidRPr="00356F51">
        <w:t xml:space="preserve">ffectiveness </w:t>
      </w:r>
      <w:r w:rsidR="00604E86">
        <w:t>and</w:t>
      </w:r>
      <w:r w:rsidR="00C67DBD" w:rsidRPr="00356F51">
        <w:t xml:space="preserve"> accuracy of </w:t>
      </w:r>
      <w:r w:rsidR="00F10CC2" w:rsidRPr="00356F51">
        <w:t xml:space="preserve">early warning scores in neurosurgical </w:t>
      </w:r>
      <w:r>
        <w:t>patients</w:t>
      </w:r>
    </w:p>
    <w:p w14:paraId="798D437E" w14:textId="19E38693" w:rsidR="00C67DBD" w:rsidRPr="00356F51" w:rsidRDefault="009A0AC1" w:rsidP="00740CE2">
      <w:pPr>
        <w:pStyle w:val="bullets"/>
      </w:pPr>
      <w:r>
        <w:t>u</w:t>
      </w:r>
      <w:r w:rsidR="00C67DBD" w:rsidRPr="00356F51">
        <w:t xml:space="preserve">se of </w:t>
      </w:r>
      <w:r w:rsidR="00F10CC2" w:rsidRPr="00356F51">
        <w:t>virtual preop</w:t>
      </w:r>
      <w:r w:rsidR="00F10CC2">
        <w:t>erative</w:t>
      </w:r>
      <w:r w:rsidR="00F10CC2" w:rsidRPr="00356F51">
        <w:t xml:space="preserve"> </w:t>
      </w:r>
      <w:r w:rsidR="00C67DBD" w:rsidRPr="00356F51">
        <w:t>assessment clinics for assessment of long</w:t>
      </w:r>
      <w:r w:rsidR="003C51BF">
        <w:t xml:space="preserve"> </w:t>
      </w:r>
      <w:r w:rsidR="00C67DBD" w:rsidRPr="00356F51">
        <w:t xml:space="preserve">distance patients </w:t>
      </w:r>
      <w:r w:rsidR="00BF3E29">
        <w:t>in</w:t>
      </w:r>
      <w:r>
        <w:t xml:space="preserve"> tertiary neurosurgical centres</w:t>
      </w:r>
    </w:p>
    <w:p w14:paraId="13B78408" w14:textId="2BC9A25B" w:rsidR="009A0AC1" w:rsidRDefault="009A0AC1" w:rsidP="00740CE2">
      <w:pPr>
        <w:pStyle w:val="bullets"/>
      </w:pPr>
      <w:r>
        <w:t>u</w:t>
      </w:r>
      <w:r w:rsidR="00C67DBD" w:rsidRPr="00356F51">
        <w:t>se of retrieval teams to transfer emergency patients</w:t>
      </w:r>
    </w:p>
    <w:p w14:paraId="6D06E8D3" w14:textId="397239BC" w:rsidR="009A0AC1" w:rsidRDefault="009A0AC1" w:rsidP="00740CE2">
      <w:pPr>
        <w:pStyle w:val="bullets"/>
      </w:pPr>
      <w:r>
        <w:t>u</w:t>
      </w:r>
      <w:r w:rsidR="00C236DA" w:rsidRPr="002C192E">
        <w:t>se of pEEG monitors during inter and intrahospital transfer of</w:t>
      </w:r>
      <w:r w:rsidR="00C236DA">
        <w:t xml:space="preserve"> neurosurgical patients undergoing </w:t>
      </w:r>
      <w:r w:rsidR="00C236DA" w:rsidRPr="009A0AC1">
        <w:t>ventilation of the lungs with neuromuscular blockade.</w:t>
      </w:r>
    </w:p>
    <w:p w14:paraId="5349728F" w14:textId="77777777" w:rsidR="00A61E7E" w:rsidRDefault="00A61E7E">
      <w:pPr>
        <w:spacing w:line="276" w:lineRule="auto"/>
        <w:rPr>
          <w:rFonts w:asciiTheme="majorHAnsi" w:eastAsiaTheme="majorEastAsia" w:hAnsiTheme="majorHAnsi" w:cstheme="majorBidi"/>
          <w:b/>
          <w:bCs/>
          <w:color w:val="CD6084" w:themeColor="accent5"/>
          <w:sz w:val="24"/>
          <w:szCs w:val="26"/>
        </w:rPr>
      </w:pPr>
      <w:r>
        <w:br w:type="page"/>
      </w:r>
    </w:p>
    <w:p w14:paraId="5CBE8E78" w14:textId="11610D57" w:rsidR="00492FD7" w:rsidRPr="00356F51" w:rsidRDefault="00492FD7" w:rsidP="00492FD7">
      <w:pPr>
        <w:pStyle w:val="Heading2"/>
      </w:pPr>
      <w:r w:rsidRPr="00356F51">
        <w:lastRenderedPageBreak/>
        <w:t>Abbreviations</w:t>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9"/>
        <w:gridCol w:w="7102"/>
      </w:tblGrid>
      <w:tr w:rsidR="00492FD7" w:rsidRPr="0019787E" w14:paraId="7113F24E" w14:textId="77777777" w:rsidTr="00492FD7">
        <w:tc>
          <w:tcPr>
            <w:tcW w:w="1919" w:type="dxa"/>
            <w:vAlign w:val="center"/>
          </w:tcPr>
          <w:p w14:paraId="2B06ABAA" w14:textId="77777777" w:rsidR="00492FD7" w:rsidRPr="00F004ED" w:rsidRDefault="00492FD7" w:rsidP="00492FD7">
            <w:pPr>
              <w:rPr>
                <w:szCs w:val="18"/>
              </w:rPr>
            </w:pPr>
            <w:r w:rsidRPr="00F004ED">
              <w:rPr>
                <w:szCs w:val="18"/>
              </w:rPr>
              <w:t>ACSA</w:t>
            </w:r>
          </w:p>
        </w:tc>
        <w:tc>
          <w:tcPr>
            <w:tcW w:w="7102" w:type="dxa"/>
            <w:vAlign w:val="center"/>
          </w:tcPr>
          <w:p w14:paraId="39F46D5A" w14:textId="77777777" w:rsidR="00492FD7" w:rsidRPr="00F004ED" w:rsidRDefault="00492FD7" w:rsidP="00492FD7">
            <w:pPr>
              <w:rPr>
                <w:szCs w:val="18"/>
              </w:rPr>
            </w:pPr>
            <w:r w:rsidRPr="00F004ED">
              <w:rPr>
                <w:szCs w:val="18"/>
              </w:rPr>
              <w:t>Anaesthesia Clinical Services Accreditation</w:t>
            </w:r>
          </w:p>
        </w:tc>
      </w:tr>
      <w:tr w:rsidR="00492FD7" w:rsidRPr="00356F51" w14:paraId="72A968A5" w14:textId="77777777" w:rsidTr="00492FD7">
        <w:tc>
          <w:tcPr>
            <w:tcW w:w="1919" w:type="dxa"/>
            <w:vAlign w:val="center"/>
          </w:tcPr>
          <w:p w14:paraId="254387A9" w14:textId="77777777" w:rsidR="00492FD7" w:rsidRPr="00F004ED" w:rsidRDefault="00492FD7" w:rsidP="00492FD7">
            <w:pPr>
              <w:rPr>
                <w:szCs w:val="18"/>
              </w:rPr>
            </w:pPr>
            <w:r w:rsidRPr="00F004ED">
              <w:rPr>
                <w:szCs w:val="18"/>
              </w:rPr>
              <w:t>CCT</w:t>
            </w:r>
          </w:p>
        </w:tc>
        <w:tc>
          <w:tcPr>
            <w:tcW w:w="7102" w:type="dxa"/>
            <w:vAlign w:val="center"/>
          </w:tcPr>
          <w:p w14:paraId="2AB81279" w14:textId="77777777" w:rsidR="00492FD7" w:rsidRPr="00F004ED" w:rsidRDefault="00492FD7" w:rsidP="00492FD7">
            <w:pPr>
              <w:rPr>
                <w:szCs w:val="18"/>
              </w:rPr>
            </w:pPr>
            <w:r w:rsidRPr="00F004ED">
              <w:rPr>
                <w:szCs w:val="18"/>
              </w:rPr>
              <w:t>Certificate of completion of training</w:t>
            </w:r>
          </w:p>
        </w:tc>
      </w:tr>
      <w:tr w:rsidR="00492FD7" w:rsidRPr="00356F51" w14:paraId="58353994" w14:textId="77777777" w:rsidTr="00492FD7">
        <w:tc>
          <w:tcPr>
            <w:tcW w:w="1919" w:type="dxa"/>
            <w:vAlign w:val="center"/>
          </w:tcPr>
          <w:p w14:paraId="68208716" w14:textId="77777777" w:rsidR="00492FD7" w:rsidRPr="00F004ED" w:rsidRDefault="00492FD7" w:rsidP="00492FD7">
            <w:pPr>
              <w:rPr>
                <w:szCs w:val="18"/>
              </w:rPr>
            </w:pPr>
            <w:r w:rsidRPr="00F004ED">
              <w:rPr>
                <w:szCs w:val="18"/>
              </w:rPr>
              <w:t>CDG</w:t>
            </w:r>
          </w:p>
        </w:tc>
        <w:tc>
          <w:tcPr>
            <w:tcW w:w="7102" w:type="dxa"/>
            <w:vAlign w:val="center"/>
          </w:tcPr>
          <w:p w14:paraId="42EB4EA7" w14:textId="77777777" w:rsidR="00492FD7" w:rsidRPr="00F004ED" w:rsidRDefault="00492FD7" w:rsidP="00492FD7">
            <w:pPr>
              <w:rPr>
                <w:szCs w:val="18"/>
              </w:rPr>
            </w:pPr>
            <w:r w:rsidRPr="00F004ED">
              <w:rPr>
                <w:szCs w:val="18"/>
              </w:rPr>
              <w:t>Chapter Development Group</w:t>
            </w:r>
          </w:p>
        </w:tc>
      </w:tr>
      <w:tr w:rsidR="00492FD7" w:rsidRPr="00356F51" w14:paraId="2E2BB474" w14:textId="77777777" w:rsidTr="00492FD7">
        <w:tc>
          <w:tcPr>
            <w:tcW w:w="1919" w:type="dxa"/>
            <w:vAlign w:val="center"/>
          </w:tcPr>
          <w:p w14:paraId="0CEEC599" w14:textId="77777777" w:rsidR="00492FD7" w:rsidRPr="00F004ED" w:rsidRDefault="00492FD7" w:rsidP="00492FD7">
            <w:pPr>
              <w:rPr>
                <w:szCs w:val="18"/>
              </w:rPr>
            </w:pPr>
            <w:r w:rsidRPr="00F004ED">
              <w:rPr>
                <w:szCs w:val="18"/>
              </w:rPr>
              <w:t>CPD</w:t>
            </w:r>
          </w:p>
        </w:tc>
        <w:tc>
          <w:tcPr>
            <w:tcW w:w="7102" w:type="dxa"/>
            <w:vAlign w:val="center"/>
          </w:tcPr>
          <w:p w14:paraId="3F1F4876" w14:textId="77777777" w:rsidR="00492FD7" w:rsidRPr="00F004ED" w:rsidRDefault="00492FD7" w:rsidP="00492FD7">
            <w:pPr>
              <w:rPr>
                <w:szCs w:val="18"/>
              </w:rPr>
            </w:pPr>
            <w:r w:rsidRPr="00F004ED">
              <w:rPr>
                <w:szCs w:val="18"/>
              </w:rPr>
              <w:t>Continuing professional development</w:t>
            </w:r>
          </w:p>
        </w:tc>
      </w:tr>
      <w:tr w:rsidR="00492FD7" w:rsidRPr="00356F51" w14:paraId="252BC147" w14:textId="77777777" w:rsidTr="00492FD7">
        <w:tc>
          <w:tcPr>
            <w:tcW w:w="1919" w:type="dxa"/>
            <w:vAlign w:val="center"/>
          </w:tcPr>
          <w:p w14:paraId="5DB69AF5" w14:textId="77777777" w:rsidR="00492FD7" w:rsidRPr="00F004ED" w:rsidRDefault="00492FD7" w:rsidP="00492FD7">
            <w:pPr>
              <w:rPr>
                <w:szCs w:val="18"/>
              </w:rPr>
            </w:pPr>
            <w:r w:rsidRPr="00F004ED">
              <w:rPr>
                <w:szCs w:val="18"/>
              </w:rPr>
              <w:t>CPR</w:t>
            </w:r>
          </w:p>
        </w:tc>
        <w:tc>
          <w:tcPr>
            <w:tcW w:w="7102" w:type="dxa"/>
            <w:vAlign w:val="center"/>
          </w:tcPr>
          <w:p w14:paraId="41639A85" w14:textId="77777777" w:rsidR="00492FD7" w:rsidRPr="00F004ED" w:rsidRDefault="00492FD7" w:rsidP="00492FD7">
            <w:pPr>
              <w:rPr>
                <w:szCs w:val="18"/>
              </w:rPr>
            </w:pPr>
            <w:r w:rsidRPr="00F004ED">
              <w:rPr>
                <w:rFonts w:cs="Arial"/>
                <w:color w:val="222222"/>
                <w:szCs w:val="18"/>
                <w:shd w:val="clear" w:color="auto" w:fill="FFFFFF"/>
              </w:rPr>
              <w:t>Cardiopulmonary resuscitation</w:t>
            </w:r>
          </w:p>
        </w:tc>
      </w:tr>
      <w:tr w:rsidR="00492FD7" w14:paraId="41C0E1A5" w14:textId="77777777" w:rsidTr="00492FD7">
        <w:tc>
          <w:tcPr>
            <w:tcW w:w="1919" w:type="dxa"/>
            <w:vAlign w:val="center"/>
          </w:tcPr>
          <w:p w14:paraId="1AA275EB" w14:textId="77777777" w:rsidR="00492FD7" w:rsidRPr="00F004ED" w:rsidRDefault="00492FD7" w:rsidP="00492FD7">
            <w:pPr>
              <w:rPr>
                <w:szCs w:val="18"/>
              </w:rPr>
            </w:pPr>
            <w:r w:rsidRPr="00F004ED">
              <w:rPr>
                <w:szCs w:val="18"/>
              </w:rPr>
              <w:t>CQC</w:t>
            </w:r>
          </w:p>
        </w:tc>
        <w:tc>
          <w:tcPr>
            <w:tcW w:w="7102" w:type="dxa"/>
            <w:vAlign w:val="center"/>
          </w:tcPr>
          <w:p w14:paraId="659289E4" w14:textId="77777777" w:rsidR="00492FD7" w:rsidRPr="00F004ED" w:rsidRDefault="00492FD7" w:rsidP="00492FD7">
            <w:pPr>
              <w:rPr>
                <w:szCs w:val="18"/>
              </w:rPr>
            </w:pPr>
            <w:r w:rsidRPr="00F004ED">
              <w:rPr>
                <w:szCs w:val="18"/>
              </w:rPr>
              <w:t>Care Quality Commission</w:t>
            </w:r>
          </w:p>
        </w:tc>
      </w:tr>
      <w:tr w:rsidR="00492FD7" w:rsidRPr="00356F51" w14:paraId="17D404D4" w14:textId="77777777" w:rsidTr="00492FD7">
        <w:tc>
          <w:tcPr>
            <w:tcW w:w="1919" w:type="dxa"/>
            <w:vAlign w:val="center"/>
          </w:tcPr>
          <w:p w14:paraId="1F9D4D69" w14:textId="77777777" w:rsidR="00492FD7" w:rsidRPr="00F004ED" w:rsidRDefault="00492FD7" w:rsidP="00492FD7">
            <w:pPr>
              <w:rPr>
                <w:szCs w:val="18"/>
              </w:rPr>
            </w:pPr>
            <w:r w:rsidRPr="00F004ED">
              <w:rPr>
                <w:szCs w:val="18"/>
              </w:rPr>
              <w:t>EEG</w:t>
            </w:r>
          </w:p>
        </w:tc>
        <w:tc>
          <w:tcPr>
            <w:tcW w:w="7102" w:type="dxa"/>
            <w:vAlign w:val="center"/>
          </w:tcPr>
          <w:p w14:paraId="70AF8025" w14:textId="77777777" w:rsidR="00492FD7" w:rsidRPr="00F004ED" w:rsidRDefault="00492FD7" w:rsidP="00492FD7">
            <w:pPr>
              <w:rPr>
                <w:szCs w:val="18"/>
              </w:rPr>
            </w:pPr>
            <w:r w:rsidRPr="00F004ED">
              <w:rPr>
                <w:szCs w:val="18"/>
              </w:rPr>
              <w:t>Electroencephalography</w:t>
            </w:r>
          </w:p>
        </w:tc>
      </w:tr>
      <w:tr w:rsidR="00492FD7" w14:paraId="1F48DB60" w14:textId="77777777" w:rsidTr="00492FD7">
        <w:tc>
          <w:tcPr>
            <w:tcW w:w="1919" w:type="dxa"/>
            <w:vAlign w:val="center"/>
          </w:tcPr>
          <w:p w14:paraId="3BC9F662" w14:textId="77777777" w:rsidR="00492FD7" w:rsidRPr="00F004ED" w:rsidRDefault="00492FD7" w:rsidP="00492FD7">
            <w:pPr>
              <w:rPr>
                <w:szCs w:val="18"/>
              </w:rPr>
            </w:pPr>
            <w:r w:rsidRPr="00F004ED">
              <w:rPr>
                <w:szCs w:val="18"/>
              </w:rPr>
              <w:t>GMC</w:t>
            </w:r>
          </w:p>
        </w:tc>
        <w:tc>
          <w:tcPr>
            <w:tcW w:w="7102" w:type="dxa"/>
            <w:vAlign w:val="center"/>
          </w:tcPr>
          <w:p w14:paraId="4DFDDE60" w14:textId="77777777" w:rsidR="00492FD7" w:rsidRPr="00F004ED" w:rsidRDefault="00492FD7" w:rsidP="00492FD7">
            <w:pPr>
              <w:rPr>
                <w:szCs w:val="18"/>
              </w:rPr>
            </w:pPr>
            <w:r w:rsidRPr="00F004ED">
              <w:rPr>
                <w:szCs w:val="18"/>
              </w:rPr>
              <w:t>General Medical Council</w:t>
            </w:r>
          </w:p>
        </w:tc>
      </w:tr>
      <w:tr w:rsidR="00492FD7" w:rsidRPr="00356F51" w14:paraId="1156ED4E" w14:textId="77777777" w:rsidTr="00492FD7">
        <w:tc>
          <w:tcPr>
            <w:tcW w:w="1919" w:type="dxa"/>
            <w:vAlign w:val="center"/>
          </w:tcPr>
          <w:p w14:paraId="4914A4D3" w14:textId="77777777" w:rsidR="00492FD7" w:rsidRPr="00F004ED" w:rsidRDefault="00492FD7" w:rsidP="00492FD7">
            <w:pPr>
              <w:rPr>
                <w:szCs w:val="18"/>
              </w:rPr>
            </w:pPr>
            <w:r w:rsidRPr="00F004ED">
              <w:rPr>
                <w:szCs w:val="18"/>
              </w:rPr>
              <w:t>GPAS</w:t>
            </w:r>
          </w:p>
        </w:tc>
        <w:tc>
          <w:tcPr>
            <w:tcW w:w="7102" w:type="dxa"/>
            <w:vAlign w:val="center"/>
          </w:tcPr>
          <w:p w14:paraId="38042046" w14:textId="77777777" w:rsidR="00492FD7" w:rsidRPr="00F004ED" w:rsidRDefault="00492FD7" w:rsidP="00492FD7">
            <w:pPr>
              <w:rPr>
                <w:szCs w:val="18"/>
              </w:rPr>
            </w:pPr>
            <w:r w:rsidRPr="00F004ED">
              <w:rPr>
                <w:szCs w:val="18"/>
              </w:rPr>
              <w:t>Guidelines for the provision of anaesthetic services</w:t>
            </w:r>
          </w:p>
        </w:tc>
      </w:tr>
      <w:tr w:rsidR="00492FD7" w:rsidRPr="0019787E" w14:paraId="71474CFA" w14:textId="77777777" w:rsidTr="00492FD7">
        <w:tc>
          <w:tcPr>
            <w:tcW w:w="1919" w:type="dxa"/>
            <w:vAlign w:val="center"/>
          </w:tcPr>
          <w:p w14:paraId="4EDA94F0" w14:textId="77777777" w:rsidR="00492FD7" w:rsidRPr="00F004ED" w:rsidRDefault="00492FD7" w:rsidP="00492FD7">
            <w:pPr>
              <w:spacing w:line="276" w:lineRule="auto"/>
              <w:rPr>
                <w:szCs w:val="18"/>
              </w:rPr>
            </w:pPr>
            <w:r w:rsidRPr="00F004ED">
              <w:rPr>
                <w:szCs w:val="18"/>
              </w:rPr>
              <w:t>MRI</w:t>
            </w:r>
          </w:p>
        </w:tc>
        <w:tc>
          <w:tcPr>
            <w:tcW w:w="7102" w:type="dxa"/>
            <w:vAlign w:val="center"/>
          </w:tcPr>
          <w:p w14:paraId="32909F98" w14:textId="77777777" w:rsidR="00492FD7" w:rsidRPr="00F004ED" w:rsidRDefault="00492FD7" w:rsidP="00492FD7">
            <w:pPr>
              <w:spacing w:line="276" w:lineRule="auto"/>
              <w:rPr>
                <w:szCs w:val="18"/>
              </w:rPr>
            </w:pPr>
            <w:r w:rsidRPr="00F004ED">
              <w:rPr>
                <w:szCs w:val="18"/>
              </w:rPr>
              <w:t>Magnetic resonance imaging</w:t>
            </w:r>
          </w:p>
        </w:tc>
      </w:tr>
      <w:tr w:rsidR="00492FD7" w:rsidRPr="00356F51" w14:paraId="07502930" w14:textId="77777777" w:rsidTr="00492FD7">
        <w:tc>
          <w:tcPr>
            <w:tcW w:w="1919" w:type="dxa"/>
            <w:vAlign w:val="center"/>
          </w:tcPr>
          <w:p w14:paraId="57610CF4" w14:textId="77777777" w:rsidR="00492FD7" w:rsidRPr="00F004ED" w:rsidRDefault="00492FD7" w:rsidP="00492FD7">
            <w:pPr>
              <w:rPr>
                <w:szCs w:val="18"/>
              </w:rPr>
            </w:pPr>
            <w:r w:rsidRPr="00F004ED">
              <w:rPr>
                <w:szCs w:val="18"/>
              </w:rPr>
              <w:t>NACCS</w:t>
            </w:r>
          </w:p>
        </w:tc>
        <w:tc>
          <w:tcPr>
            <w:tcW w:w="7102" w:type="dxa"/>
            <w:vAlign w:val="center"/>
          </w:tcPr>
          <w:p w14:paraId="413AC97A" w14:textId="77777777" w:rsidR="00492FD7" w:rsidRPr="00F004ED" w:rsidRDefault="00492FD7" w:rsidP="00492FD7">
            <w:pPr>
              <w:rPr>
                <w:szCs w:val="18"/>
              </w:rPr>
            </w:pPr>
            <w:r w:rsidRPr="00F004ED">
              <w:rPr>
                <w:szCs w:val="18"/>
              </w:rPr>
              <w:t>Neuro Anaesthesia &amp; Critical Care Society of Great Britain and Ireland</w:t>
            </w:r>
          </w:p>
        </w:tc>
      </w:tr>
      <w:tr w:rsidR="00492FD7" w:rsidRPr="005A2923" w14:paraId="252D7CE1" w14:textId="77777777" w:rsidTr="00492FD7">
        <w:tc>
          <w:tcPr>
            <w:tcW w:w="1919" w:type="dxa"/>
            <w:vAlign w:val="center"/>
          </w:tcPr>
          <w:p w14:paraId="2948BE14" w14:textId="77777777" w:rsidR="00492FD7" w:rsidRPr="00F004ED" w:rsidRDefault="00492FD7" w:rsidP="00492FD7">
            <w:pPr>
              <w:rPr>
                <w:szCs w:val="18"/>
              </w:rPr>
            </w:pPr>
            <w:r w:rsidRPr="00F004ED">
              <w:rPr>
                <w:szCs w:val="18"/>
              </w:rPr>
              <w:t>NHS</w:t>
            </w:r>
          </w:p>
        </w:tc>
        <w:tc>
          <w:tcPr>
            <w:tcW w:w="7102" w:type="dxa"/>
            <w:vAlign w:val="center"/>
          </w:tcPr>
          <w:p w14:paraId="66B0BC1C" w14:textId="77777777" w:rsidR="00492FD7" w:rsidRPr="00F004ED" w:rsidRDefault="00492FD7" w:rsidP="00492FD7">
            <w:pPr>
              <w:rPr>
                <w:szCs w:val="18"/>
              </w:rPr>
            </w:pPr>
            <w:r w:rsidRPr="00F004ED">
              <w:rPr>
                <w:szCs w:val="18"/>
              </w:rPr>
              <w:t>National Health Service</w:t>
            </w:r>
          </w:p>
        </w:tc>
      </w:tr>
      <w:tr w:rsidR="00492FD7" w:rsidRPr="00356F51" w14:paraId="01F56F6D" w14:textId="77777777" w:rsidTr="00492FD7">
        <w:tc>
          <w:tcPr>
            <w:tcW w:w="1919" w:type="dxa"/>
            <w:vAlign w:val="center"/>
          </w:tcPr>
          <w:p w14:paraId="5D1C7D22" w14:textId="77777777" w:rsidR="00492FD7" w:rsidRPr="00F004ED" w:rsidRDefault="00492FD7" w:rsidP="00492FD7">
            <w:pPr>
              <w:rPr>
                <w:szCs w:val="18"/>
              </w:rPr>
            </w:pPr>
            <w:r w:rsidRPr="00F004ED">
              <w:rPr>
                <w:szCs w:val="18"/>
              </w:rPr>
              <w:t>NICE</w:t>
            </w:r>
          </w:p>
        </w:tc>
        <w:tc>
          <w:tcPr>
            <w:tcW w:w="7102" w:type="dxa"/>
            <w:vAlign w:val="center"/>
          </w:tcPr>
          <w:p w14:paraId="28F96070" w14:textId="77777777" w:rsidR="00492FD7" w:rsidRPr="00F004ED" w:rsidRDefault="00492FD7" w:rsidP="00492FD7">
            <w:pPr>
              <w:rPr>
                <w:szCs w:val="18"/>
              </w:rPr>
            </w:pPr>
            <w:r w:rsidRPr="00F004ED">
              <w:rPr>
                <w:szCs w:val="18"/>
              </w:rPr>
              <w:t>National Institute for Health and Care Excellence</w:t>
            </w:r>
          </w:p>
        </w:tc>
      </w:tr>
      <w:tr w:rsidR="00492FD7" w:rsidRPr="0019787E" w14:paraId="4E337389" w14:textId="77777777" w:rsidTr="00492FD7">
        <w:tc>
          <w:tcPr>
            <w:tcW w:w="1919" w:type="dxa"/>
            <w:vAlign w:val="center"/>
          </w:tcPr>
          <w:p w14:paraId="3FC047B1" w14:textId="77777777" w:rsidR="00492FD7" w:rsidRPr="00F004ED" w:rsidRDefault="00492FD7" w:rsidP="00492FD7">
            <w:pPr>
              <w:rPr>
                <w:szCs w:val="18"/>
              </w:rPr>
            </w:pPr>
            <w:r w:rsidRPr="00F004ED">
              <w:rPr>
                <w:szCs w:val="18"/>
              </w:rPr>
              <w:t>pEEG</w:t>
            </w:r>
          </w:p>
        </w:tc>
        <w:tc>
          <w:tcPr>
            <w:tcW w:w="7102" w:type="dxa"/>
            <w:vAlign w:val="center"/>
          </w:tcPr>
          <w:p w14:paraId="4E8B39C1" w14:textId="77777777" w:rsidR="00492FD7" w:rsidRPr="00F004ED" w:rsidRDefault="00492FD7" w:rsidP="00492FD7">
            <w:pPr>
              <w:rPr>
                <w:szCs w:val="18"/>
              </w:rPr>
            </w:pPr>
            <w:r w:rsidRPr="00F004ED">
              <w:rPr>
                <w:szCs w:val="18"/>
              </w:rPr>
              <w:t>Processed EEG</w:t>
            </w:r>
          </w:p>
        </w:tc>
      </w:tr>
      <w:tr w:rsidR="00492FD7" w:rsidRPr="00356F51" w14:paraId="63BE2AC0" w14:textId="77777777" w:rsidTr="00492FD7">
        <w:tc>
          <w:tcPr>
            <w:tcW w:w="1919" w:type="dxa"/>
            <w:vAlign w:val="center"/>
          </w:tcPr>
          <w:p w14:paraId="2E0AB009" w14:textId="77777777" w:rsidR="00492FD7" w:rsidRPr="00F004ED" w:rsidRDefault="00492FD7" w:rsidP="00492FD7">
            <w:pPr>
              <w:rPr>
                <w:szCs w:val="18"/>
              </w:rPr>
            </w:pPr>
            <w:r w:rsidRPr="00F004ED">
              <w:rPr>
                <w:szCs w:val="18"/>
              </w:rPr>
              <w:t>RCoA</w:t>
            </w:r>
          </w:p>
        </w:tc>
        <w:tc>
          <w:tcPr>
            <w:tcW w:w="7102" w:type="dxa"/>
            <w:vAlign w:val="center"/>
          </w:tcPr>
          <w:p w14:paraId="6B1019E4" w14:textId="77777777" w:rsidR="00492FD7" w:rsidRPr="00F004ED" w:rsidRDefault="00492FD7" w:rsidP="00492FD7">
            <w:pPr>
              <w:rPr>
                <w:szCs w:val="18"/>
              </w:rPr>
            </w:pPr>
            <w:r w:rsidRPr="00F004ED">
              <w:rPr>
                <w:szCs w:val="18"/>
              </w:rPr>
              <w:t>Royal College of Anaesthetists</w:t>
            </w:r>
          </w:p>
        </w:tc>
      </w:tr>
      <w:tr w:rsidR="00492FD7" w:rsidRPr="00AA708E" w14:paraId="57202C0F" w14:textId="77777777" w:rsidTr="00492FD7">
        <w:tc>
          <w:tcPr>
            <w:tcW w:w="1919" w:type="dxa"/>
            <w:vAlign w:val="center"/>
          </w:tcPr>
          <w:p w14:paraId="117AE962" w14:textId="77777777" w:rsidR="00492FD7" w:rsidRPr="00F004ED" w:rsidRDefault="00492FD7" w:rsidP="00492FD7">
            <w:pPr>
              <w:rPr>
                <w:szCs w:val="18"/>
              </w:rPr>
            </w:pPr>
            <w:r w:rsidRPr="00F004ED">
              <w:rPr>
                <w:szCs w:val="18"/>
              </w:rPr>
              <w:t>RCTs</w:t>
            </w:r>
          </w:p>
        </w:tc>
        <w:tc>
          <w:tcPr>
            <w:tcW w:w="7102" w:type="dxa"/>
            <w:vAlign w:val="center"/>
          </w:tcPr>
          <w:p w14:paraId="33582214" w14:textId="77777777" w:rsidR="00492FD7" w:rsidRPr="00F004ED" w:rsidRDefault="00492FD7" w:rsidP="00492FD7">
            <w:pPr>
              <w:pStyle w:val="CommentText"/>
              <w:rPr>
                <w:sz w:val="18"/>
                <w:szCs w:val="18"/>
              </w:rPr>
            </w:pPr>
            <w:r w:rsidRPr="00F004ED">
              <w:rPr>
                <w:sz w:val="18"/>
                <w:szCs w:val="18"/>
              </w:rPr>
              <w:t>Randomised controlled trials</w:t>
            </w:r>
          </w:p>
        </w:tc>
      </w:tr>
      <w:tr w:rsidR="00492FD7" w:rsidRPr="0019787E" w14:paraId="5EF6E011" w14:textId="77777777" w:rsidTr="00492FD7">
        <w:tc>
          <w:tcPr>
            <w:tcW w:w="1919" w:type="dxa"/>
            <w:vAlign w:val="center"/>
          </w:tcPr>
          <w:p w14:paraId="084730A4" w14:textId="77777777" w:rsidR="00492FD7" w:rsidRPr="00F004ED" w:rsidRDefault="00492FD7" w:rsidP="00492FD7">
            <w:pPr>
              <w:rPr>
                <w:szCs w:val="18"/>
              </w:rPr>
            </w:pPr>
            <w:r w:rsidRPr="00F004ED">
              <w:rPr>
                <w:szCs w:val="18"/>
              </w:rPr>
              <w:t>SAS</w:t>
            </w:r>
          </w:p>
        </w:tc>
        <w:tc>
          <w:tcPr>
            <w:tcW w:w="7102" w:type="dxa"/>
            <w:vAlign w:val="center"/>
          </w:tcPr>
          <w:p w14:paraId="2E21BA5A" w14:textId="2BCB43C5" w:rsidR="00492FD7" w:rsidRPr="00F004ED" w:rsidRDefault="001011C4" w:rsidP="00492FD7">
            <w:pPr>
              <w:rPr>
                <w:szCs w:val="18"/>
              </w:rPr>
            </w:pPr>
            <w:r w:rsidRPr="001011C4">
              <w:rPr>
                <w:szCs w:val="18"/>
              </w:rPr>
              <w:t>Staff grade, associate specialist and specialty doctors</w:t>
            </w:r>
          </w:p>
        </w:tc>
      </w:tr>
      <w:tr w:rsidR="00492FD7" w:rsidRPr="00356F51" w14:paraId="36E6675D" w14:textId="77777777" w:rsidTr="00492FD7">
        <w:tc>
          <w:tcPr>
            <w:tcW w:w="1919" w:type="dxa"/>
            <w:vAlign w:val="center"/>
          </w:tcPr>
          <w:p w14:paraId="3FFED00E" w14:textId="77777777" w:rsidR="00492FD7" w:rsidRPr="00F004ED" w:rsidRDefault="00492FD7" w:rsidP="00492FD7">
            <w:pPr>
              <w:rPr>
                <w:szCs w:val="18"/>
              </w:rPr>
            </w:pPr>
            <w:r w:rsidRPr="00F004ED">
              <w:rPr>
                <w:szCs w:val="18"/>
              </w:rPr>
              <w:t>TIVA</w:t>
            </w:r>
          </w:p>
        </w:tc>
        <w:tc>
          <w:tcPr>
            <w:tcW w:w="7102" w:type="dxa"/>
            <w:vAlign w:val="center"/>
          </w:tcPr>
          <w:p w14:paraId="2D8087CC" w14:textId="77777777" w:rsidR="00492FD7" w:rsidRPr="00F004ED" w:rsidRDefault="00492FD7" w:rsidP="00492FD7">
            <w:pPr>
              <w:rPr>
                <w:szCs w:val="18"/>
              </w:rPr>
            </w:pPr>
            <w:r w:rsidRPr="00F004ED">
              <w:rPr>
                <w:szCs w:val="18"/>
              </w:rPr>
              <w:t>Total intravenous anaesthesia</w:t>
            </w:r>
          </w:p>
        </w:tc>
      </w:tr>
      <w:tr w:rsidR="00492FD7" w:rsidRPr="0019787E" w14:paraId="35E33C2C" w14:textId="77777777" w:rsidTr="00492FD7">
        <w:tc>
          <w:tcPr>
            <w:tcW w:w="1919" w:type="dxa"/>
            <w:vAlign w:val="center"/>
          </w:tcPr>
          <w:p w14:paraId="401834D9" w14:textId="77777777" w:rsidR="00492FD7" w:rsidRPr="00F004ED" w:rsidRDefault="00492FD7" w:rsidP="00492FD7">
            <w:pPr>
              <w:rPr>
                <w:szCs w:val="18"/>
              </w:rPr>
            </w:pPr>
            <w:r w:rsidRPr="00F004ED">
              <w:rPr>
                <w:rFonts w:cs="Times New Roman"/>
                <w:szCs w:val="18"/>
              </w:rPr>
              <w:t xml:space="preserve">WHO </w:t>
            </w:r>
          </w:p>
        </w:tc>
        <w:tc>
          <w:tcPr>
            <w:tcW w:w="7102" w:type="dxa"/>
            <w:vAlign w:val="center"/>
          </w:tcPr>
          <w:p w14:paraId="7BB04F68" w14:textId="77777777" w:rsidR="00492FD7" w:rsidRPr="00F004ED" w:rsidRDefault="00492FD7" w:rsidP="00492FD7">
            <w:pPr>
              <w:rPr>
                <w:szCs w:val="18"/>
              </w:rPr>
            </w:pPr>
            <w:r w:rsidRPr="00F004ED">
              <w:rPr>
                <w:rFonts w:cs="Times New Roman"/>
                <w:szCs w:val="18"/>
              </w:rPr>
              <w:t>World Health Organization</w:t>
            </w:r>
          </w:p>
        </w:tc>
      </w:tr>
    </w:tbl>
    <w:p w14:paraId="69883355" w14:textId="77777777" w:rsidR="00492FD7" w:rsidRDefault="00492FD7" w:rsidP="00492FD7">
      <w:pPr>
        <w:pStyle w:val="Heading2"/>
      </w:pPr>
      <w:r w:rsidRPr="00356F51">
        <w:t>Glossary</w:t>
      </w:r>
    </w:p>
    <w:p w14:paraId="1D12E7B6" w14:textId="1AC096C8" w:rsidR="00D719FC" w:rsidRPr="00D719FC" w:rsidRDefault="00D719FC" w:rsidP="00492FD7">
      <w:r w:rsidRPr="000C7102">
        <w:rPr>
          <w:b/>
          <w:color w:val="291F51" w:themeColor="accent1"/>
        </w:rPr>
        <w:t xml:space="preserve">Clinical lead </w:t>
      </w:r>
      <w:r>
        <w:rPr>
          <w:b/>
        </w:rPr>
        <w:t xml:space="preserve">- </w:t>
      </w:r>
      <w:r w:rsidRPr="00D719FC">
        <w:t>SAS doctors undertaking lead roles should be autonomously practicing doctors who have competence, experience and communication skills in the specialist area equivalent to consultant colleagues. They should usually have experience in teaching and education relevant to the role and they should participate in Quality Improvement and CPD activities. Individuals should be fully supported by their Clinical Director and be provided with adequate time and resources to allow them to effectively undertake the lead role</w:t>
      </w:r>
    </w:p>
    <w:p w14:paraId="29262B6E" w14:textId="1A1E7248" w:rsidR="00492FD7" w:rsidRDefault="00492FD7" w:rsidP="00492FD7">
      <w:r w:rsidRPr="000C7102">
        <w:rPr>
          <w:b/>
          <w:color w:val="291F51" w:themeColor="accent1"/>
        </w:rPr>
        <w:t>Immediately</w:t>
      </w:r>
      <w:r w:rsidRPr="00F004ED">
        <w:t xml:space="preserve"> </w:t>
      </w:r>
      <w:r>
        <w:t xml:space="preserve">– </w:t>
      </w:r>
      <w:r w:rsidRPr="00EE49AA">
        <w:t>Unless otherwise defined, ‘immediately’ means within five minutes</w:t>
      </w:r>
      <w:r>
        <w:t>.</w:t>
      </w:r>
    </w:p>
    <w:p w14:paraId="385CF5DA" w14:textId="17ABC5E9" w:rsidR="00A61E7E" w:rsidRDefault="00492FD7" w:rsidP="00492FD7">
      <w:r w:rsidRPr="000C7102">
        <w:rPr>
          <w:b/>
          <w:color w:val="291F51" w:themeColor="accent1"/>
        </w:rPr>
        <w:t>Neuroanaesthetist</w:t>
      </w:r>
      <w:r>
        <w:t xml:space="preserve"> – Neuroanaesthetists will have regular neuroscience sessions (most often at least 2 sessions per week), be involved in neuroscience M&amp;Ms and carry out regular CPD in this area.</w:t>
      </w:r>
    </w:p>
    <w:p w14:paraId="33D42E86" w14:textId="77777777" w:rsidR="00A61E7E" w:rsidRDefault="00A61E7E">
      <w:pPr>
        <w:spacing w:line="276" w:lineRule="auto"/>
      </w:pPr>
      <w:r>
        <w:br w:type="page"/>
      </w:r>
    </w:p>
    <w:p w14:paraId="0544D00F" w14:textId="75040AE3" w:rsidR="00D30D5C" w:rsidRPr="00356F51" w:rsidRDefault="00D30D5C" w:rsidP="009A0AC1">
      <w:pPr>
        <w:pStyle w:val="Heading2"/>
      </w:pPr>
      <w:r w:rsidRPr="00356F51">
        <w:lastRenderedPageBreak/>
        <w:t>References</w:t>
      </w:r>
    </w:p>
    <w:p w14:paraId="21B93D68" w14:textId="77777777" w:rsidR="002D43E6" w:rsidRDefault="002D43E6" w:rsidP="00752E1A">
      <w:pPr>
        <w:spacing w:after="0"/>
        <w:rPr>
          <w:rFonts w:cs="Times New Roman"/>
        </w:rPr>
        <w:sectPr w:rsidR="002D43E6" w:rsidSect="002D2A98">
          <w:endnotePr>
            <w:numFmt w:val="decimal"/>
          </w:endnotePr>
          <w:type w:val="continuous"/>
          <w:pgSz w:w="11906" w:h="16838"/>
          <w:pgMar w:top="2552" w:right="1134" w:bottom="851" w:left="1134" w:header="709" w:footer="454" w:gutter="0"/>
          <w:cols w:space="708"/>
          <w:docGrid w:linePitch="360"/>
        </w:sectPr>
      </w:pPr>
    </w:p>
    <w:p w14:paraId="2A53CAF5" w14:textId="17735ECD" w:rsidR="00FF714E" w:rsidRDefault="00FF714E" w:rsidP="00F004ED">
      <w:pPr>
        <w:rPr>
          <w:rFonts w:asciiTheme="majorHAnsi" w:eastAsiaTheme="majorEastAsia" w:hAnsiTheme="majorHAnsi" w:cstheme="majorBidi"/>
          <w:sz w:val="26"/>
          <w:szCs w:val="26"/>
        </w:rPr>
      </w:pPr>
      <w:r>
        <w:br w:type="page"/>
      </w:r>
    </w:p>
    <w:p w14:paraId="2C6E07E8" w14:textId="2C272329" w:rsidR="000F382C" w:rsidRPr="00356F51" w:rsidRDefault="002D2A98" w:rsidP="009A0AC1">
      <w:pPr>
        <w:pStyle w:val="Heading2"/>
      </w:pPr>
      <w:r>
        <w:lastRenderedPageBreak/>
        <w:t>Appendix 1</w:t>
      </w:r>
      <w:r w:rsidR="000F382C" w:rsidRPr="00356F51">
        <w:t xml:space="preserve">: </w:t>
      </w:r>
      <w:r w:rsidR="00D219E1">
        <w:t>R</w:t>
      </w:r>
      <w:r w:rsidR="000D78FC" w:rsidRPr="00356F51">
        <w:t xml:space="preserve">ecommendations </w:t>
      </w:r>
      <w:r w:rsidR="00131913">
        <w:t>g</w:t>
      </w:r>
      <w:r w:rsidR="000D78FC" w:rsidRPr="00356F51">
        <w:t>rading</w:t>
      </w:r>
    </w:p>
    <w:p w14:paraId="14322D2B" w14:textId="77777777" w:rsidR="009A5F23" w:rsidRPr="00356F51" w:rsidRDefault="009A5F23" w:rsidP="000C7102">
      <w:pPr>
        <w:spacing w:after="240"/>
      </w:pPr>
      <w:r w:rsidRPr="00356F51">
        <w:t>The grading system is outlined in the methodology section of this chapter. The grades for each of the recommendations in this chapter are detailed in the table below:</w:t>
      </w:r>
    </w:p>
    <w:tbl>
      <w:tblPr>
        <w:tblStyle w:val="LightList-Accent1"/>
        <w:tblW w:w="9351" w:type="dxa"/>
        <w:tblBorders>
          <w:top w:val="single" w:sz="4" w:space="0" w:color="291F51" w:themeColor="accent1"/>
          <w:left w:val="single" w:sz="4" w:space="0" w:color="291F51" w:themeColor="accent1"/>
          <w:bottom w:val="single" w:sz="4" w:space="0" w:color="291F51" w:themeColor="accent1"/>
          <w:right w:val="single" w:sz="4" w:space="0" w:color="291F51" w:themeColor="accent1"/>
          <w:insideH w:val="single" w:sz="4" w:space="0" w:color="291F51" w:themeColor="accent1"/>
          <w:insideV w:val="single" w:sz="4" w:space="0" w:color="000000" w:themeColor="text1"/>
        </w:tblBorders>
        <w:tblLook w:val="04A0" w:firstRow="1" w:lastRow="0" w:firstColumn="1" w:lastColumn="0" w:noHBand="0" w:noVBand="1"/>
      </w:tblPr>
      <w:tblGrid>
        <w:gridCol w:w="3024"/>
        <w:gridCol w:w="3024"/>
        <w:gridCol w:w="3303"/>
      </w:tblGrid>
      <w:tr w:rsidR="009A5F23" w:rsidRPr="005A63A9" w14:paraId="4D20C7EF" w14:textId="77777777" w:rsidTr="00F327A6">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000" w:firstRow="0" w:lastRow="0" w:firstColumn="1" w:lastColumn="0" w:oddVBand="0" w:evenVBand="0" w:oddHBand="0" w:evenHBand="0" w:firstRowFirstColumn="0" w:firstRowLastColumn="0" w:lastRowFirstColumn="0" w:lastRowLastColumn="0"/>
            <w:tcW w:w="3024" w:type="dxa"/>
            <w:shd w:val="clear" w:color="auto" w:fill="291F51" w:themeFill="accent1"/>
            <w:vAlign w:val="center"/>
            <w:hideMark/>
          </w:tcPr>
          <w:p w14:paraId="63FB94F3" w14:textId="77777777" w:rsidR="009A5F23" w:rsidRPr="005A63A9" w:rsidRDefault="009A5F23" w:rsidP="000C7102">
            <w:pPr>
              <w:rPr>
                <w:szCs w:val="18"/>
              </w:rPr>
            </w:pPr>
            <w:r w:rsidRPr="005A63A9">
              <w:rPr>
                <w:szCs w:val="18"/>
              </w:rPr>
              <w:t>Recommendation Number</w:t>
            </w:r>
          </w:p>
        </w:tc>
        <w:tc>
          <w:tcPr>
            <w:tcW w:w="3024" w:type="dxa"/>
            <w:shd w:val="clear" w:color="auto" w:fill="291F51" w:themeFill="accent1"/>
            <w:vAlign w:val="center"/>
            <w:hideMark/>
          </w:tcPr>
          <w:p w14:paraId="458E0F4F" w14:textId="77777777" w:rsidR="009A5F23" w:rsidRPr="005A63A9" w:rsidRDefault="009A5F23" w:rsidP="000C7102">
            <w:pPr>
              <w:cnfStyle w:val="100000000000" w:firstRow="1" w:lastRow="0" w:firstColumn="0" w:lastColumn="0" w:oddVBand="0" w:evenVBand="0" w:oddHBand="0" w:evenHBand="0" w:firstRowFirstColumn="0" w:firstRowLastColumn="0" w:lastRowFirstColumn="0" w:lastRowLastColumn="0"/>
              <w:rPr>
                <w:szCs w:val="18"/>
              </w:rPr>
            </w:pPr>
            <w:r w:rsidRPr="005A63A9">
              <w:rPr>
                <w:szCs w:val="18"/>
              </w:rPr>
              <w:t>Level of Evidence</w:t>
            </w:r>
          </w:p>
        </w:tc>
        <w:tc>
          <w:tcPr>
            <w:tcW w:w="3303" w:type="dxa"/>
            <w:shd w:val="clear" w:color="auto" w:fill="291F51" w:themeFill="accent1"/>
            <w:vAlign w:val="center"/>
            <w:hideMark/>
          </w:tcPr>
          <w:p w14:paraId="75EE2C27" w14:textId="77777777" w:rsidR="009A5F23" w:rsidRPr="005A63A9" w:rsidRDefault="009A5F23" w:rsidP="000C7102">
            <w:pPr>
              <w:cnfStyle w:val="100000000000" w:firstRow="1" w:lastRow="0" w:firstColumn="0" w:lastColumn="0" w:oddVBand="0" w:evenVBand="0" w:oddHBand="0" w:evenHBand="0" w:firstRowFirstColumn="0" w:firstRowLastColumn="0" w:lastRowFirstColumn="0" w:lastRowLastColumn="0"/>
              <w:rPr>
                <w:szCs w:val="18"/>
              </w:rPr>
            </w:pPr>
            <w:r w:rsidRPr="005A63A9">
              <w:rPr>
                <w:szCs w:val="18"/>
              </w:rPr>
              <w:t>Strength of Recommendation</w:t>
            </w:r>
          </w:p>
        </w:tc>
      </w:tr>
      <w:tr w:rsidR="000F62EF" w:rsidRPr="005A63A9" w14:paraId="27F49248"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7DA2E7B9"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1.1</w:t>
            </w:r>
          </w:p>
        </w:tc>
        <w:tc>
          <w:tcPr>
            <w:tcW w:w="3024" w:type="dxa"/>
            <w:tcBorders>
              <w:top w:val="none" w:sz="0" w:space="0" w:color="auto"/>
              <w:bottom w:val="none" w:sz="0" w:space="0" w:color="auto"/>
            </w:tcBorders>
            <w:noWrap/>
            <w:vAlign w:val="center"/>
            <w:hideMark/>
          </w:tcPr>
          <w:p w14:paraId="6DA0A47B"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tcBorders>
              <w:top w:val="none" w:sz="0" w:space="0" w:color="auto"/>
              <w:bottom w:val="none" w:sz="0" w:space="0" w:color="auto"/>
              <w:right w:val="none" w:sz="0" w:space="0" w:color="auto"/>
            </w:tcBorders>
            <w:noWrap/>
            <w:vAlign w:val="center"/>
            <w:hideMark/>
          </w:tcPr>
          <w:p w14:paraId="46D301B0" w14:textId="3BFB76A2"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7E5DDDE4"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6C9CA9B9"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1.2</w:t>
            </w:r>
          </w:p>
        </w:tc>
        <w:tc>
          <w:tcPr>
            <w:tcW w:w="3024" w:type="dxa"/>
            <w:noWrap/>
            <w:vAlign w:val="center"/>
            <w:hideMark/>
          </w:tcPr>
          <w:p w14:paraId="512808AE"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noWrap/>
            <w:vAlign w:val="center"/>
            <w:hideMark/>
          </w:tcPr>
          <w:p w14:paraId="07E1D966" w14:textId="411FF2EC"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732E305F"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72166ABD"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1.3</w:t>
            </w:r>
          </w:p>
        </w:tc>
        <w:tc>
          <w:tcPr>
            <w:tcW w:w="3024" w:type="dxa"/>
            <w:tcBorders>
              <w:top w:val="none" w:sz="0" w:space="0" w:color="auto"/>
              <w:bottom w:val="none" w:sz="0" w:space="0" w:color="auto"/>
            </w:tcBorders>
            <w:noWrap/>
            <w:vAlign w:val="center"/>
            <w:hideMark/>
          </w:tcPr>
          <w:p w14:paraId="6109B8B0"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tcBorders>
              <w:top w:val="none" w:sz="0" w:space="0" w:color="auto"/>
              <w:bottom w:val="none" w:sz="0" w:space="0" w:color="auto"/>
              <w:right w:val="none" w:sz="0" w:space="0" w:color="auto"/>
            </w:tcBorders>
            <w:noWrap/>
            <w:vAlign w:val="center"/>
            <w:hideMark/>
          </w:tcPr>
          <w:p w14:paraId="4CFF24A8" w14:textId="6BCEBC35"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45BFD48C"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4E02A991"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1.4</w:t>
            </w:r>
          </w:p>
        </w:tc>
        <w:tc>
          <w:tcPr>
            <w:tcW w:w="3024" w:type="dxa"/>
            <w:noWrap/>
            <w:vAlign w:val="center"/>
            <w:hideMark/>
          </w:tcPr>
          <w:p w14:paraId="572FFFA8"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noWrap/>
            <w:vAlign w:val="center"/>
            <w:hideMark/>
          </w:tcPr>
          <w:p w14:paraId="676FC405" w14:textId="14C37B08"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687A12AC"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6B49EBCE"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1.5</w:t>
            </w:r>
          </w:p>
        </w:tc>
        <w:tc>
          <w:tcPr>
            <w:tcW w:w="3024" w:type="dxa"/>
            <w:tcBorders>
              <w:top w:val="none" w:sz="0" w:space="0" w:color="auto"/>
              <w:bottom w:val="none" w:sz="0" w:space="0" w:color="auto"/>
            </w:tcBorders>
            <w:noWrap/>
            <w:vAlign w:val="center"/>
            <w:hideMark/>
          </w:tcPr>
          <w:p w14:paraId="0DE81BB9"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tcBorders>
              <w:top w:val="none" w:sz="0" w:space="0" w:color="auto"/>
              <w:bottom w:val="none" w:sz="0" w:space="0" w:color="auto"/>
              <w:right w:val="none" w:sz="0" w:space="0" w:color="auto"/>
            </w:tcBorders>
            <w:noWrap/>
            <w:vAlign w:val="center"/>
            <w:hideMark/>
          </w:tcPr>
          <w:p w14:paraId="1C7C529D" w14:textId="63D01FAF"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0261B364"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2E2B2ED2"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1.6</w:t>
            </w:r>
          </w:p>
        </w:tc>
        <w:tc>
          <w:tcPr>
            <w:tcW w:w="3024" w:type="dxa"/>
            <w:noWrap/>
            <w:vAlign w:val="center"/>
            <w:hideMark/>
          </w:tcPr>
          <w:p w14:paraId="49AFFC10"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noWrap/>
            <w:vAlign w:val="center"/>
            <w:hideMark/>
          </w:tcPr>
          <w:p w14:paraId="7F65E07A" w14:textId="703FFA91"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052C22C6"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792BBB99"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1.7</w:t>
            </w:r>
          </w:p>
        </w:tc>
        <w:tc>
          <w:tcPr>
            <w:tcW w:w="3024" w:type="dxa"/>
            <w:tcBorders>
              <w:top w:val="none" w:sz="0" w:space="0" w:color="auto"/>
              <w:bottom w:val="none" w:sz="0" w:space="0" w:color="auto"/>
            </w:tcBorders>
            <w:noWrap/>
            <w:vAlign w:val="center"/>
            <w:hideMark/>
          </w:tcPr>
          <w:p w14:paraId="1DC8C63C"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tcBorders>
              <w:top w:val="none" w:sz="0" w:space="0" w:color="auto"/>
              <w:bottom w:val="none" w:sz="0" w:space="0" w:color="auto"/>
              <w:right w:val="none" w:sz="0" w:space="0" w:color="auto"/>
            </w:tcBorders>
            <w:noWrap/>
            <w:vAlign w:val="center"/>
            <w:hideMark/>
          </w:tcPr>
          <w:p w14:paraId="3A69BAB2" w14:textId="010A72F0"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0BE37892"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093EACD2"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1.8</w:t>
            </w:r>
          </w:p>
        </w:tc>
        <w:tc>
          <w:tcPr>
            <w:tcW w:w="3024" w:type="dxa"/>
            <w:noWrap/>
            <w:vAlign w:val="center"/>
            <w:hideMark/>
          </w:tcPr>
          <w:p w14:paraId="4478B22E"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noWrap/>
            <w:vAlign w:val="center"/>
            <w:hideMark/>
          </w:tcPr>
          <w:p w14:paraId="655869E6" w14:textId="4C6498CC"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1102FFDC"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30952E9D"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1.9</w:t>
            </w:r>
          </w:p>
        </w:tc>
        <w:tc>
          <w:tcPr>
            <w:tcW w:w="3024" w:type="dxa"/>
            <w:tcBorders>
              <w:top w:val="none" w:sz="0" w:space="0" w:color="auto"/>
              <w:bottom w:val="none" w:sz="0" w:space="0" w:color="auto"/>
            </w:tcBorders>
            <w:noWrap/>
            <w:vAlign w:val="center"/>
            <w:hideMark/>
          </w:tcPr>
          <w:p w14:paraId="662A1200"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tcBorders>
              <w:top w:val="none" w:sz="0" w:space="0" w:color="auto"/>
              <w:bottom w:val="none" w:sz="0" w:space="0" w:color="auto"/>
              <w:right w:val="none" w:sz="0" w:space="0" w:color="auto"/>
            </w:tcBorders>
            <w:noWrap/>
            <w:vAlign w:val="center"/>
            <w:hideMark/>
          </w:tcPr>
          <w:p w14:paraId="77018973" w14:textId="15DC8285"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7AA07A14"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3B1E50CC"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1.10</w:t>
            </w:r>
          </w:p>
        </w:tc>
        <w:tc>
          <w:tcPr>
            <w:tcW w:w="3024" w:type="dxa"/>
            <w:noWrap/>
            <w:vAlign w:val="center"/>
            <w:hideMark/>
          </w:tcPr>
          <w:p w14:paraId="150E6C97"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noWrap/>
            <w:vAlign w:val="center"/>
            <w:hideMark/>
          </w:tcPr>
          <w:p w14:paraId="6568A576" w14:textId="41F68D32"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66DCFD12"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797845C7"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1.11</w:t>
            </w:r>
          </w:p>
        </w:tc>
        <w:tc>
          <w:tcPr>
            <w:tcW w:w="3024" w:type="dxa"/>
            <w:tcBorders>
              <w:top w:val="none" w:sz="0" w:space="0" w:color="auto"/>
              <w:bottom w:val="none" w:sz="0" w:space="0" w:color="auto"/>
            </w:tcBorders>
            <w:noWrap/>
            <w:vAlign w:val="center"/>
            <w:hideMark/>
          </w:tcPr>
          <w:p w14:paraId="1619CE85"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tcBorders>
              <w:top w:val="none" w:sz="0" w:space="0" w:color="auto"/>
              <w:bottom w:val="none" w:sz="0" w:space="0" w:color="auto"/>
              <w:right w:val="none" w:sz="0" w:space="0" w:color="auto"/>
            </w:tcBorders>
            <w:noWrap/>
            <w:vAlign w:val="center"/>
            <w:hideMark/>
          </w:tcPr>
          <w:p w14:paraId="77147517" w14:textId="78123D58"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727927C9"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46E59659"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1.12</w:t>
            </w:r>
          </w:p>
        </w:tc>
        <w:tc>
          <w:tcPr>
            <w:tcW w:w="3024" w:type="dxa"/>
            <w:noWrap/>
            <w:vAlign w:val="center"/>
            <w:hideMark/>
          </w:tcPr>
          <w:p w14:paraId="70C5A301"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noWrap/>
            <w:vAlign w:val="center"/>
            <w:hideMark/>
          </w:tcPr>
          <w:p w14:paraId="690B52EC" w14:textId="181FF294"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3D0DCAE6"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2CF8341F"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2.1</w:t>
            </w:r>
          </w:p>
        </w:tc>
        <w:tc>
          <w:tcPr>
            <w:tcW w:w="3024" w:type="dxa"/>
            <w:tcBorders>
              <w:top w:val="none" w:sz="0" w:space="0" w:color="auto"/>
              <w:bottom w:val="none" w:sz="0" w:space="0" w:color="auto"/>
            </w:tcBorders>
            <w:shd w:val="clear" w:color="auto" w:fill="auto"/>
            <w:noWrap/>
            <w:vAlign w:val="center"/>
            <w:hideMark/>
          </w:tcPr>
          <w:p w14:paraId="48F44488" w14:textId="6C192FF7" w:rsidR="0062791D" w:rsidRPr="005A63A9" w:rsidRDefault="0062791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5DF5E2E1" w14:textId="39541648" w:rsidR="0062791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67A596C4"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552DA861"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2.2</w:t>
            </w:r>
          </w:p>
        </w:tc>
        <w:tc>
          <w:tcPr>
            <w:tcW w:w="3024" w:type="dxa"/>
            <w:shd w:val="clear" w:color="auto" w:fill="auto"/>
            <w:noWrap/>
            <w:vAlign w:val="center"/>
            <w:hideMark/>
          </w:tcPr>
          <w:p w14:paraId="53A16E60" w14:textId="6FCB31A4" w:rsidR="0062791D" w:rsidRPr="005A63A9" w:rsidRDefault="0062791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73142A3F" w14:textId="75B48B83" w:rsidR="0062791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39D81433"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5695BBFD"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2.3</w:t>
            </w:r>
          </w:p>
        </w:tc>
        <w:tc>
          <w:tcPr>
            <w:tcW w:w="3024" w:type="dxa"/>
            <w:tcBorders>
              <w:top w:val="none" w:sz="0" w:space="0" w:color="auto"/>
              <w:bottom w:val="none" w:sz="0" w:space="0" w:color="auto"/>
            </w:tcBorders>
            <w:shd w:val="clear" w:color="auto" w:fill="auto"/>
            <w:noWrap/>
            <w:vAlign w:val="center"/>
            <w:hideMark/>
          </w:tcPr>
          <w:p w14:paraId="4959AA22" w14:textId="609C758B" w:rsidR="0062791D" w:rsidRPr="005A63A9" w:rsidRDefault="0062791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B</w:t>
            </w:r>
          </w:p>
        </w:tc>
        <w:tc>
          <w:tcPr>
            <w:tcW w:w="3303" w:type="dxa"/>
            <w:tcBorders>
              <w:top w:val="none" w:sz="0" w:space="0" w:color="auto"/>
              <w:bottom w:val="none" w:sz="0" w:space="0" w:color="auto"/>
              <w:right w:val="none" w:sz="0" w:space="0" w:color="auto"/>
            </w:tcBorders>
            <w:noWrap/>
            <w:vAlign w:val="center"/>
            <w:hideMark/>
          </w:tcPr>
          <w:p w14:paraId="0FE0B04C" w14:textId="392093EC" w:rsidR="0062791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4A3F2B3C"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318BB209"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2.4</w:t>
            </w:r>
          </w:p>
        </w:tc>
        <w:tc>
          <w:tcPr>
            <w:tcW w:w="3024" w:type="dxa"/>
            <w:shd w:val="clear" w:color="auto" w:fill="auto"/>
            <w:noWrap/>
            <w:vAlign w:val="center"/>
            <w:hideMark/>
          </w:tcPr>
          <w:p w14:paraId="5739BE03" w14:textId="1F17DFC5" w:rsidR="0062791D" w:rsidRPr="005A63A9" w:rsidRDefault="0062791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B</w:t>
            </w:r>
          </w:p>
        </w:tc>
        <w:tc>
          <w:tcPr>
            <w:tcW w:w="3303" w:type="dxa"/>
            <w:noWrap/>
            <w:vAlign w:val="center"/>
            <w:hideMark/>
          </w:tcPr>
          <w:p w14:paraId="5D3B6283" w14:textId="39301076" w:rsidR="0062791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5D08DFE1"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746A68FF"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2.5</w:t>
            </w:r>
          </w:p>
        </w:tc>
        <w:tc>
          <w:tcPr>
            <w:tcW w:w="3024" w:type="dxa"/>
            <w:tcBorders>
              <w:top w:val="none" w:sz="0" w:space="0" w:color="auto"/>
              <w:bottom w:val="none" w:sz="0" w:space="0" w:color="auto"/>
            </w:tcBorders>
            <w:shd w:val="clear" w:color="auto" w:fill="auto"/>
            <w:noWrap/>
            <w:vAlign w:val="center"/>
            <w:hideMark/>
          </w:tcPr>
          <w:p w14:paraId="314AF46D" w14:textId="2983F4ED" w:rsidR="0062791D" w:rsidRPr="005A63A9" w:rsidRDefault="0062791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C</w:t>
            </w:r>
          </w:p>
        </w:tc>
        <w:tc>
          <w:tcPr>
            <w:tcW w:w="3303" w:type="dxa"/>
            <w:tcBorders>
              <w:top w:val="none" w:sz="0" w:space="0" w:color="auto"/>
              <w:bottom w:val="none" w:sz="0" w:space="0" w:color="auto"/>
              <w:right w:val="none" w:sz="0" w:space="0" w:color="auto"/>
            </w:tcBorders>
            <w:noWrap/>
            <w:vAlign w:val="center"/>
            <w:hideMark/>
          </w:tcPr>
          <w:p w14:paraId="238FC1C1" w14:textId="4F1E9362" w:rsidR="0062791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50A345C5"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3881A19E"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2.6</w:t>
            </w:r>
          </w:p>
        </w:tc>
        <w:tc>
          <w:tcPr>
            <w:tcW w:w="3024" w:type="dxa"/>
            <w:shd w:val="clear" w:color="auto" w:fill="auto"/>
            <w:noWrap/>
            <w:vAlign w:val="center"/>
            <w:hideMark/>
          </w:tcPr>
          <w:p w14:paraId="6021ECEF" w14:textId="37D3B6EE" w:rsidR="0062791D" w:rsidRPr="005A63A9" w:rsidRDefault="0062791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B</w:t>
            </w:r>
          </w:p>
        </w:tc>
        <w:tc>
          <w:tcPr>
            <w:tcW w:w="3303" w:type="dxa"/>
            <w:noWrap/>
            <w:vAlign w:val="center"/>
            <w:hideMark/>
          </w:tcPr>
          <w:p w14:paraId="108B720E" w14:textId="6A7B3F85" w:rsidR="0062791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7C12922A"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22B889BC"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2.7</w:t>
            </w:r>
          </w:p>
        </w:tc>
        <w:tc>
          <w:tcPr>
            <w:tcW w:w="3024" w:type="dxa"/>
            <w:tcBorders>
              <w:top w:val="none" w:sz="0" w:space="0" w:color="auto"/>
              <w:bottom w:val="none" w:sz="0" w:space="0" w:color="auto"/>
            </w:tcBorders>
            <w:shd w:val="clear" w:color="auto" w:fill="auto"/>
            <w:noWrap/>
            <w:vAlign w:val="center"/>
            <w:hideMark/>
          </w:tcPr>
          <w:p w14:paraId="1C88ABBE" w14:textId="1CDF6A86" w:rsidR="0062791D" w:rsidRPr="005A63A9" w:rsidRDefault="0062791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42316593" w14:textId="70FAE0C6" w:rsidR="0062791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02BD17B6"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6F7E4652"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2.8</w:t>
            </w:r>
          </w:p>
        </w:tc>
        <w:tc>
          <w:tcPr>
            <w:tcW w:w="3024" w:type="dxa"/>
            <w:shd w:val="clear" w:color="auto" w:fill="auto"/>
            <w:noWrap/>
            <w:vAlign w:val="center"/>
            <w:hideMark/>
          </w:tcPr>
          <w:p w14:paraId="5A5CBBBD" w14:textId="0AA7808C" w:rsidR="0062791D" w:rsidRPr="005A63A9" w:rsidRDefault="0062791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329B168E" w14:textId="58244C2C" w:rsidR="0062791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293BA2FA"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2B435797"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2.9</w:t>
            </w:r>
          </w:p>
        </w:tc>
        <w:tc>
          <w:tcPr>
            <w:tcW w:w="3024" w:type="dxa"/>
            <w:tcBorders>
              <w:top w:val="none" w:sz="0" w:space="0" w:color="auto"/>
              <w:bottom w:val="none" w:sz="0" w:space="0" w:color="auto"/>
            </w:tcBorders>
            <w:shd w:val="clear" w:color="auto" w:fill="auto"/>
            <w:noWrap/>
            <w:vAlign w:val="center"/>
            <w:hideMark/>
          </w:tcPr>
          <w:p w14:paraId="518417B8" w14:textId="7BAC3C3E" w:rsidR="0062791D" w:rsidRPr="005A63A9" w:rsidRDefault="0062791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C</w:t>
            </w:r>
          </w:p>
        </w:tc>
        <w:tc>
          <w:tcPr>
            <w:tcW w:w="3303" w:type="dxa"/>
            <w:tcBorders>
              <w:top w:val="none" w:sz="0" w:space="0" w:color="auto"/>
              <w:bottom w:val="none" w:sz="0" w:space="0" w:color="auto"/>
              <w:right w:val="none" w:sz="0" w:space="0" w:color="auto"/>
            </w:tcBorders>
            <w:noWrap/>
            <w:vAlign w:val="center"/>
            <w:hideMark/>
          </w:tcPr>
          <w:p w14:paraId="538ED2D9" w14:textId="0C839C74" w:rsidR="0062791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5EA926F2"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6FE829FB"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2.10</w:t>
            </w:r>
          </w:p>
        </w:tc>
        <w:tc>
          <w:tcPr>
            <w:tcW w:w="3024" w:type="dxa"/>
            <w:shd w:val="clear" w:color="auto" w:fill="auto"/>
            <w:noWrap/>
            <w:vAlign w:val="center"/>
            <w:hideMark/>
          </w:tcPr>
          <w:p w14:paraId="389F883B" w14:textId="4438582F" w:rsidR="0062791D" w:rsidRPr="005A63A9" w:rsidRDefault="0062791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5B3A179F" w14:textId="4C0B0F15" w:rsidR="0062791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377F02DE"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1A47F93E"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2.11</w:t>
            </w:r>
          </w:p>
        </w:tc>
        <w:tc>
          <w:tcPr>
            <w:tcW w:w="3024" w:type="dxa"/>
            <w:tcBorders>
              <w:top w:val="none" w:sz="0" w:space="0" w:color="auto"/>
              <w:bottom w:val="none" w:sz="0" w:space="0" w:color="auto"/>
            </w:tcBorders>
            <w:shd w:val="clear" w:color="auto" w:fill="auto"/>
            <w:noWrap/>
            <w:vAlign w:val="center"/>
            <w:hideMark/>
          </w:tcPr>
          <w:p w14:paraId="56318581" w14:textId="3720670D" w:rsidR="0062791D" w:rsidRPr="005A63A9" w:rsidRDefault="0062791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44DB98BA" w14:textId="5E4565E1" w:rsidR="0062791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441CA966"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1E9DDCB0"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2.12</w:t>
            </w:r>
          </w:p>
        </w:tc>
        <w:tc>
          <w:tcPr>
            <w:tcW w:w="3024" w:type="dxa"/>
            <w:shd w:val="clear" w:color="auto" w:fill="auto"/>
            <w:noWrap/>
            <w:vAlign w:val="center"/>
            <w:hideMark/>
          </w:tcPr>
          <w:p w14:paraId="2927FDD7" w14:textId="2D43D823" w:rsidR="0062791D" w:rsidRPr="005A63A9" w:rsidRDefault="0062791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7E41F9E4" w14:textId="005BD109" w:rsidR="0062791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419F565B"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1A9B746A"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2.13</w:t>
            </w:r>
          </w:p>
        </w:tc>
        <w:tc>
          <w:tcPr>
            <w:tcW w:w="3024" w:type="dxa"/>
            <w:tcBorders>
              <w:top w:val="none" w:sz="0" w:space="0" w:color="auto"/>
              <w:bottom w:val="none" w:sz="0" w:space="0" w:color="auto"/>
            </w:tcBorders>
            <w:shd w:val="clear" w:color="auto" w:fill="auto"/>
            <w:noWrap/>
            <w:vAlign w:val="center"/>
            <w:hideMark/>
          </w:tcPr>
          <w:p w14:paraId="58CDCF7D" w14:textId="64839CFC" w:rsidR="0062791D" w:rsidRPr="005A63A9" w:rsidRDefault="0062791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6A9DC51A" w14:textId="057885AD" w:rsidR="0062791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6B365E2F"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18C0A7B8"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2.14</w:t>
            </w:r>
          </w:p>
        </w:tc>
        <w:tc>
          <w:tcPr>
            <w:tcW w:w="3024" w:type="dxa"/>
            <w:shd w:val="clear" w:color="auto" w:fill="auto"/>
            <w:noWrap/>
            <w:vAlign w:val="center"/>
            <w:hideMark/>
          </w:tcPr>
          <w:p w14:paraId="31EEFC56" w14:textId="7ECEAD43" w:rsidR="0062791D" w:rsidRPr="005A63A9" w:rsidRDefault="0062791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38533573" w14:textId="34EF2C1C" w:rsidR="0062791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0305F9DA"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1FC81003"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2.15</w:t>
            </w:r>
          </w:p>
        </w:tc>
        <w:tc>
          <w:tcPr>
            <w:tcW w:w="3024" w:type="dxa"/>
            <w:tcBorders>
              <w:top w:val="none" w:sz="0" w:space="0" w:color="auto"/>
              <w:bottom w:val="none" w:sz="0" w:space="0" w:color="auto"/>
            </w:tcBorders>
            <w:shd w:val="clear" w:color="auto" w:fill="auto"/>
            <w:noWrap/>
            <w:vAlign w:val="center"/>
            <w:hideMark/>
          </w:tcPr>
          <w:p w14:paraId="591AFBF6" w14:textId="190085F8" w:rsidR="0062791D" w:rsidRPr="005A63A9" w:rsidRDefault="0062791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7B40E108" w14:textId="6DC53E59" w:rsidR="0062791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Aspirational</w:t>
            </w:r>
          </w:p>
        </w:tc>
      </w:tr>
      <w:tr w:rsidR="0062791D" w:rsidRPr="005A63A9" w14:paraId="11B4C008"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174EE31C" w14:textId="77777777" w:rsidR="0062791D" w:rsidRPr="005A63A9" w:rsidRDefault="0062791D" w:rsidP="000C7102">
            <w:pPr>
              <w:rPr>
                <w:rFonts w:eastAsia="Times New Roman" w:cs="Times New Roman"/>
                <w:b w:val="0"/>
                <w:color w:val="000000"/>
                <w:szCs w:val="18"/>
              </w:rPr>
            </w:pPr>
            <w:r w:rsidRPr="005A63A9">
              <w:rPr>
                <w:rFonts w:eastAsia="Times New Roman" w:cs="Times New Roman"/>
                <w:b w:val="0"/>
                <w:color w:val="000000"/>
                <w:szCs w:val="18"/>
              </w:rPr>
              <w:t>2.16</w:t>
            </w:r>
          </w:p>
        </w:tc>
        <w:tc>
          <w:tcPr>
            <w:tcW w:w="3024" w:type="dxa"/>
            <w:shd w:val="clear" w:color="auto" w:fill="auto"/>
            <w:noWrap/>
            <w:vAlign w:val="center"/>
            <w:hideMark/>
          </w:tcPr>
          <w:p w14:paraId="486B6484" w14:textId="20B313B5" w:rsidR="0062791D" w:rsidRPr="005A63A9" w:rsidRDefault="0062791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5AFC0766" w14:textId="6ACA2028" w:rsidR="0062791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19FD04D2"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tcPr>
          <w:p w14:paraId="77D51A13" w14:textId="3AC8E1E9" w:rsidR="0062791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2.17</w:t>
            </w:r>
          </w:p>
        </w:tc>
        <w:tc>
          <w:tcPr>
            <w:tcW w:w="3024" w:type="dxa"/>
            <w:tcBorders>
              <w:top w:val="none" w:sz="0" w:space="0" w:color="auto"/>
              <w:bottom w:val="none" w:sz="0" w:space="0" w:color="auto"/>
            </w:tcBorders>
            <w:shd w:val="clear" w:color="auto" w:fill="auto"/>
            <w:noWrap/>
            <w:vAlign w:val="center"/>
          </w:tcPr>
          <w:p w14:paraId="45564A81" w14:textId="1107BECE" w:rsidR="0062791D" w:rsidRPr="005A63A9" w:rsidRDefault="0062791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tcPr>
          <w:p w14:paraId="1A751D98" w14:textId="310E7266" w:rsidR="0062791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2791D" w:rsidRPr="005A63A9" w14:paraId="3BB2FCB3"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1373E1B8" w14:textId="5406C35C" w:rsidR="0062791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2.18</w:t>
            </w:r>
          </w:p>
        </w:tc>
        <w:tc>
          <w:tcPr>
            <w:tcW w:w="3024" w:type="dxa"/>
            <w:shd w:val="clear" w:color="auto" w:fill="auto"/>
            <w:noWrap/>
            <w:vAlign w:val="center"/>
          </w:tcPr>
          <w:p w14:paraId="5FA70C9C" w14:textId="712F9337" w:rsidR="0062791D" w:rsidRPr="005A63A9" w:rsidRDefault="0062791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B</w:t>
            </w:r>
          </w:p>
        </w:tc>
        <w:tc>
          <w:tcPr>
            <w:tcW w:w="3303" w:type="dxa"/>
            <w:noWrap/>
            <w:vAlign w:val="center"/>
          </w:tcPr>
          <w:p w14:paraId="269BA26D" w14:textId="5B62BC7A" w:rsidR="0062791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31F900F4"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5E379C91"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3.1</w:t>
            </w:r>
          </w:p>
        </w:tc>
        <w:tc>
          <w:tcPr>
            <w:tcW w:w="3024" w:type="dxa"/>
            <w:tcBorders>
              <w:top w:val="none" w:sz="0" w:space="0" w:color="auto"/>
              <w:bottom w:val="none" w:sz="0" w:space="0" w:color="auto"/>
            </w:tcBorders>
            <w:noWrap/>
            <w:vAlign w:val="center"/>
            <w:hideMark/>
          </w:tcPr>
          <w:p w14:paraId="167E4038"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04725A25" w14:textId="012125A5"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3AD39485"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38A65D5E"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3.2</w:t>
            </w:r>
          </w:p>
        </w:tc>
        <w:tc>
          <w:tcPr>
            <w:tcW w:w="3024" w:type="dxa"/>
            <w:noWrap/>
            <w:vAlign w:val="center"/>
            <w:hideMark/>
          </w:tcPr>
          <w:p w14:paraId="6158B8FC"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C</w:t>
            </w:r>
          </w:p>
        </w:tc>
        <w:tc>
          <w:tcPr>
            <w:tcW w:w="3303" w:type="dxa"/>
            <w:noWrap/>
            <w:vAlign w:val="center"/>
            <w:hideMark/>
          </w:tcPr>
          <w:p w14:paraId="23BD9396" w14:textId="7A40974D"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7B3BA8F3"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61F5808A"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3.3</w:t>
            </w:r>
          </w:p>
        </w:tc>
        <w:tc>
          <w:tcPr>
            <w:tcW w:w="3024" w:type="dxa"/>
            <w:tcBorders>
              <w:top w:val="none" w:sz="0" w:space="0" w:color="auto"/>
              <w:bottom w:val="none" w:sz="0" w:space="0" w:color="auto"/>
            </w:tcBorders>
            <w:noWrap/>
            <w:vAlign w:val="center"/>
            <w:hideMark/>
          </w:tcPr>
          <w:p w14:paraId="22512040"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1D4F033B" w14:textId="6DCAB429"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32D751C2"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3ACD6D29"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lastRenderedPageBreak/>
              <w:t>3.4</w:t>
            </w:r>
          </w:p>
        </w:tc>
        <w:tc>
          <w:tcPr>
            <w:tcW w:w="3024" w:type="dxa"/>
            <w:noWrap/>
            <w:vAlign w:val="center"/>
            <w:hideMark/>
          </w:tcPr>
          <w:p w14:paraId="75E19389"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noWrap/>
            <w:vAlign w:val="center"/>
            <w:hideMark/>
          </w:tcPr>
          <w:p w14:paraId="69E5E035" w14:textId="6C441BCB"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3F873FB2"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096846A9"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3.5</w:t>
            </w:r>
          </w:p>
        </w:tc>
        <w:tc>
          <w:tcPr>
            <w:tcW w:w="3024" w:type="dxa"/>
            <w:tcBorders>
              <w:top w:val="none" w:sz="0" w:space="0" w:color="auto"/>
              <w:bottom w:val="none" w:sz="0" w:space="0" w:color="auto"/>
            </w:tcBorders>
            <w:noWrap/>
            <w:vAlign w:val="center"/>
            <w:hideMark/>
          </w:tcPr>
          <w:p w14:paraId="006B8A4E"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38A57BB2" w14:textId="5941799C"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6AEC3D38"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42A36169"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3.6</w:t>
            </w:r>
          </w:p>
        </w:tc>
        <w:tc>
          <w:tcPr>
            <w:tcW w:w="3024" w:type="dxa"/>
            <w:noWrap/>
            <w:vAlign w:val="center"/>
            <w:hideMark/>
          </w:tcPr>
          <w:p w14:paraId="10DCD981"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noWrap/>
            <w:vAlign w:val="center"/>
            <w:hideMark/>
          </w:tcPr>
          <w:p w14:paraId="0390F3F9" w14:textId="09212C16"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6C101A55"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03F57C2B"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4.1</w:t>
            </w:r>
          </w:p>
        </w:tc>
        <w:tc>
          <w:tcPr>
            <w:tcW w:w="3024" w:type="dxa"/>
            <w:tcBorders>
              <w:top w:val="none" w:sz="0" w:space="0" w:color="auto"/>
              <w:bottom w:val="none" w:sz="0" w:space="0" w:color="auto"/>
            </w:tcBorders>
            <w:noWrap/>
            <w:vAlign w:val="center"/>
            <w:hideMark/>
          </w:tcPr>
          <w:p w14:paraId="7BA9239B"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22C7F509" w14:textId="4B4A6809"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04718A68"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40CF1455"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4.2</w:t>
            </w:r>
          </w:p>
        </w:tc>
        <w:tc>
          <w:tcPr>
            <w:tcW w:w="3024" w:type="dxa"/>
            <w:noWrap/>
            <w:vAlign w:val="center"/>
            <w:hideMark/>
          </w:tcPr>
          <w:p w14:paraId="634BD89E"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noWrap/>
            <w:vAlign w:val="center"/>
            <w:hideMark/>
          </w:tcPr>
          <w:p w14:paraId="6FC21A22" w14:textId="2DA3627E"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4E90302B"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12D77B98"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4.3</w:t>
            </w:r>
          </w:p>
        </w:tc>
        <w:tc>
          <w:tcPr>
            <w:tcW w:w="3024" w:type="dxa"/>
            <w:tcBorders>
              <w:top w:val="none" w:sz="0" w:space="0" w:color="auto"/>
              <w:bottom w:val="none" w:sz="0" w:space="0" w:color="auto"/>
            </w:tcBorders>
            <w:noWrap/>
            <w:vAlign w:val="center"/>
            <w:hideMark/>
          </w:tcPr>
          <w:p w14:paraId="6FAD3874"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635BA9DB" w14:textId="3DFB261D"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04AF706E"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0C94B3E5"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4.4</w:t>
            </w:r>
          </w:p>
        </w:tc>
        <w:tc>
          <w:tcPr>
            <w:tcW w:w="3024" w:type="dxa"/>
            <w:noWrap/>
            <w:vAlign w:val="center"/>
            <w:hideMark/>
          </w:tcPr>
          <w:p w14:paraId="3FC61C9A"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noWrap/>
            <w:vAlign w:val="center"/>
            <w:hideMark/>
          </w:tcPr>
          <w:p w14:paraId="2E441391" w14:textId="6DBD2C44"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4BCDBEDA"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5978DBC4"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4.5</w:t>
            </w:r>
          </w:p>
        </w:tc>
        <w:tc>
          <w:tcPr>
            <w:tcW w:w="3024" w:type="dxa"/>
            <w:tcBorders>
              <w:top w:val="none" w:sz="0" w:space="0" w:color="auto"/>
              <w:bottom w:val="none" w:sz="0" w:space="0" w:color="auto"/>
            </w:tcBorders>
            <w:noWrap/>
            <w:vAlign w:val="center"/>
            <w:hideMark/>
          </w:tcPr>
          <w:p w14:paraId="0C93C3B3"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C</w:t>
            </w:r>
          </w:p>
        </w:tc>
        <w:tc>
          <w:tcPr>
            <w:tcW w:w="3303" w:type="dxa"/>
            <w:tcBorders>
              <w:top w:val="none" w:sz="0" w:space="0" w:color="auto"/>
              <w:bottom w:val="none" w:sz="0" w:space="0" w:color="auto"/>
              <w:right w:val="none" w:sz="0" w:space="0" w:color="auto"/>
            </w:tcBorders>
            <w:noWrap/>
            <w:vAlign w:val="center"/>
            <w:hideMark/>
          </w:tcPr>
          <w:p w14:paraId="1BC7672C" w14:textId="0B664A88"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47CDF85C"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2F1F900E"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4.6</w:t>
            </w:r>
          </w:p>
        </w:tc>
        <w:tc>
          <w:tcPr>
            <w:tcW w:w="3024" w:type="dxa"/>
            <w:noWrap/>
            <w:vAlign w:val="center"/>
            <w:hideMark/>
          </w:tcPr>
          <w:p w14:paraId="68E64146"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noWrap/>
            <w:vAlign w:val="center"/>
            <w:hideMark/>
          </w:tcPr>
          <w:p w14:paraId="6463129D" w14:textId="0CC3F1C9"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Weak</w:t>
            </w:r>
          </w:p>
        </w:tc>
      </w:tr>
      <w:tr w:rsidR="000F62EF" w:rsidRPr="005A63A9" w14:paraId="0E089DFF"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43BDCDC5"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4.7</w:t>
            </w:r>
          </w:p>
        </w:tc>
        <w:tc>
          <w:tcPr>
            <w:tcW w:w="3024" w:type="dxa"/>
            <w:tcBorders>
              <w:top w:val="none" w:sz="0" w:space="0" w:color="auto"/>
              <w:bottom w:val="none" w:sz="0" w:space="0" w:color="auto"/>
            </w:tcBorders>
            <w:noWrap/>
            <w:vAlign w:val="center"/>
            <w:hideMark/>
          </w:tcPr>
          <w:p w14:paraId="638BCB11"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04FA367A" w14:textId="5476C799"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3DECEEC8"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7BA1F189"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4.8</w:t>
            </w:r>
          </w:p>
        </w:tc>
        <w:tc>
          <w:tcPr>
            <w:tcW w:w="3024" w:type="dxa"/>
            <w:noWrap/>
            <w:vAlign w:val="center"/>
            <w:hideMark/>
          </w:tcPr>
          <w:p w14:paraId="0EBC13ED"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noWrap/>
            <w:vAlign w:val="center"/>
            <w:hideMark/>
          </w:tcPr>
          <w:p w14:paraId="60552803" w14:textId="43F5B256"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4BDC2561"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45913384"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5.1</w:t>
            </w:r>
          </w:p>
        </w:tc>
        <w:tc>
          <w:tcPr>
            <w:tcW w:w="3024" w:type="dxa"/>
            <w:tcBorders>
              <w:top w:val="none" w:sz="0" w:space="0" w:color="auto"/>
              <w:bottom w:val="none" w:sz="0" w:space="0" w:color="auto"/>
            </w:tcBorders>
            <w:shd w:val="clear" w:color="auto" w:fill="auto"/>
            <w:noWrap/>
            <w:vAlign w:val="center"/>
            <w:hideMark/>
          </w:tcPr>
          <w:p w14:paraId="6E722604" w14:textId="28890A5F" w:rsidR="006C414D" w:rsidRPr="005A63A9" w:rsidRDefault="006C414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2C296A34" w14:textId="515D7E3C" w:rsidR="006C414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683605B9"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5792E7EF"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5.2</w:t>
            </w:r>
          </w:p>
        </w:tc>
        <w:tc>
          <w:tcPr>
            <w:tcW w:w="3024" w:type="dxa"/>
            <w:shd w:val="clear" w:color="auto" w:fill="auto"/>
            <w:noWrap/>
            <w:vAlign w:val="center"/>
            <w:hideMark/>
          </w:tcPr>
          <w:p w14:paraId="39D892AB" w14:textId="6ED14AA2" w:rsidR="006C414D" w:rsidRPr="005A63A9" w:rsidRDefault="006C414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447F719A" w14:textId="1B85FB37" w:rsidR="006C414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49AA9F9D"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7B866FCE"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5.3</w:t>
            </w:r>
          </w:p>
        </w:tc>
        <w:tc>
          <w:tcPr>
            <w:tcW w:w="3024" w:type="dxa"/>
            <w:tcBorders>
              <w:top w:val="none" w:sz="0" w:space="0" w:color="auto"/>
              <w:bottom w:val="none" w:sz="0" w:space="0" w:color="auto"/>
            </w:tcBorders>
            <w:shd w:val="clear" w:color="auto" w:fill="auto"/>
            <w:noWrap/>
            <w:vAlign w:val="center"/>
            <w:hideMark/>
          </w:tcPr>
          <w:p w14:paraId="6F7C3DB9" w14:textId="3969CEAB" w:rsidR="006C414D" w:rsidRPr="005A63A9" w:rsidRDefault="006C414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0C58E735" w14:textId="5BA75BA7" w:rsidR="006C414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3E7A3D98"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31BA2F31"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5.4</w:t>
            </w:r>
          </w:p>
        </w:tc>
        <w:tc>
          <w:tcPr>
            <w:tcW w:w="3024" w:type="dxa"/>
            <w:shd w:val="clear" w:color="auto" w:fill="auto"/>
            <w:noWrap/>
            <w:vAlign w:val="center"/>
            <w:hideMark/>
          </w:tcPr>
          <w:p w14:paraId="4EB12685" w14:textId="0F5BF849" w:rsidR="006C414D" w:rsidRPr="005A63A9" w:rsidRDefault="006C414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7D1F8D3C" w14:textId="0466F57C" w:rsidR="006C414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78D84E1C"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7299C15D"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5.5</w:t>
            </w:r>
          </w:p>
        </w:tc>
        <w:tc>
          <w:tcPr>
            <w:tcW w:w="3024" w:type="dxa"/>
            <w:tcBorders>
              <w:top w:val="none" w:sz="0" w:space="0" w:color="auto"/>
              <w:bottom w:val="none" w:sz="0" w:space="0" w:color="auto"/>
            </w:tcBorders>
            <w:shd w:val="clear" w:color="auto" w:fill="auto"/>
            <w:noWrap/>
            <w:vAlign w:val="center"/>
            <w:hideMark/>
          </w:tcPr>
          <w:p w14:paraId="0F9C0220" w14:textId="74F51887" w:rsidR="006C414D" w:rsidRPr="005A63A9" w:rsidRDefault="006C414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B</w:t>
            </w:r>
          </w:p>
        </w:tc>
        <w:tc>
          <w:tcPr>
            <w:tcW w:w="3303" w:type="dxa"/>
            <w:tcBorders>
              <w:top w:val="none" w:sz="0" w:space="0" w:color="auto"/>
              <w:bottom w:val="none" w:sz="0" w:space="0" w:color="auto"/>
              <w:right w:val="none" w:sz="0" w:space="0" w:color="auto"/>
            </w:tcBorders>
            <w:noWrap/>
            <w:vAlign w:val="center"/>
            <w:hideMark/>
          </w:tcPr>
          <w:p w14:paraId="6F0A4A7B" w14:textId="5B7B3BA5" w:rsidR="006C414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26F996AB"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1D398B13"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5.6</w:t>
            </w:r>
          </w:p>
        </w:tc>
        <w:tc>
          <w:tcPr>
            <w:tcW w:w="3024" w:type="dxa"/>
            <w:shd w:val="clear" w:color="auto" w:fill="auto"/>
            <w:noWrap/>
            <w:vAlign w:val="center"/>
            <w:hideMark/>
          </w:tcPr>
          <w:p w14:paraId="439917F7" w14:textId="10BFAFEB" w:rsidR="006C414D" w:rsidRPr="005A63A9" w:rsidRDefault="006C414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6339442E" w14:textId="61F5E1AB" w:rsidR="006C414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1A070ED2"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5015DE8F"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5.7</w:t>
            </w:r>
          </w:p>
        </w:tc>
        <w:tc>
          <w:tcPr>
            <w:tcW w:w="3024" w:type="dxa"/>
            <w:tcBorders>
              <w:top w:val="none" w:sz="0" w:space="0" w:color="auto"/>
              <w:bottom w:val="none" w:sz="0" w:space="0" w:color="auto"/>
            </w:tcBorders>
            <w:shd w:val="clear" w:color="auto" w:fill="auto"/>
            <w:noWrap/>
            <w:vAlign w:val="center"/>
            <w:hideMark/>
          </w:tcPr>
          <w:p w14:paraId="7207F5E1" w14:textId="53D6C192" w:rsidR="006C414D" w:rsidRPr="005A63A9" w:rsidRDefault="006C414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3670A217" w14:textId="7F717FD8" w:rsidR="006C414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3BC22064"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1BD04630"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5.8</w:t>
            </w:r>
          </w:p>
        </w:tc>
        <w:tc>
          <w:tcPr>
            <w:tcW w:w="3024" w:type="dxa"/>
            <w:shd w:val="clear" w:color="auto" w:fill="auto"/>
            <w:noWrap/>
            <w:vAlign w:val="center"/>
            <w:hideMark/>
          </w:tcPr>
          <w:p w14:paraId="2021663F" w14:textId="01933599" w:rsidR="006C414D" w:rsidRPr="005A63A9" w:rsidRDefault="006C414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C</w:t>
            </w:r>
          </w:p>
        </w:tc>
        <w:tc>
          <w:tcPr>
            <w:tcW w:w="3303" w:type="dxa"/>
            <w:noWrap/>
            <w:vAlign w:val="center"/>
            <w:hideMark/>
          </w:tcPr>
          <w:p w14:paraId="3C5C4B50" w14:textId="52A37329" w:rsidR="006C414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78EDE8F2"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21617E7D"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5.9</w:t>
            </w:r>
          </w:p>
        </w:tc>
        <w:tc>
          <w:tcPr>
            <w:tcW w:w="3024" w:type="dxa"/>
            <w:tcBorders>
              <w:top w:val="none" w:sz="0" w:space="0" w:color="auto"/>
              <w:bottom w:val="none" w:sz="0" w:space="0" w:color="auto"/>
            </w:tcBorders>
            <w:shd w:val="clear" w:color="auto" w:fill="auto"/>
            <w:noWrap/>
            <w:vAlign w:val="center"/>
            <w:hideMark/>
          </w:tcPr>
          <w:p w14:paraId="343E32F0" w14:textId="3731A466" w:rsidR="006C414D" w:rsidRPr="005A63A9" w:rsidRDefault="006C414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5134FD80" w14:textId="20979119" w:rsidR="006C414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Weak</w:t>
            </w:r>
          </w:p>
        </w:tc>
      </w:tr>
      <w:tr w:rsidR="006C414D" w:rsidRPr="005A63A9" w14:paraId="0B3EF255"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5A0E76C3"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5.10</w:t>
            </w:r>
          </w:p>
        </w:tc>
        <w:tc>
          <w:tcPr>
            <w:tcW w:w="3024" w:type="dxa"/>
            <w:shd w:val="clear" w:color="auto" w:fill="auto"/>
            <w:noWrap/>
            <w:vAlign w:val="center"/>
            <w:hideMark/>
          </w:tcPr>
          <w:p w14:paraId="77EEF193" w14:textId="77CAE49F" w:rsidR="006C414D" w:rsidRPr="005A63A9" w:rsidRDefault="006C414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C</w:t>
            </w:r>
          </w:p>
        </w:tc>
        <w:tc>
          <w:tcPr>
            <w:tcW w:w="3303" w:type="dxa"/>
            <w:noWrap/>
            <w:vAlign w:val="center"/>
            <w:hideMark/>
          </w:tcPr>
          <w:p w14:paraId="24B69355" w14:textId="0E15571D" w:rsidR="006C414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0A5699D5"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08E3612D"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5.11</w:t>
            </w:r>
          </w:p>
        </w:tc>
        <w:tc>
          <w:tcPr>
            <w:tcW w:w="3024" w:type="dxa"/>
            <w:tcBorders>
              <w:top w:val="none" w:sz="0" w:space="0" w:color="auto"/>
              <w:bottom w:val="none" w:sz="0" w:space="0" w:color="auto"/>
            </w:tcBorders>
            <w:shd w:val="clear" w:color="auto" w:fill="auto"/>
            <w:noWrap/>
            <w:vAlign w:val="center"/>
            <w:hideMark/>
          </w:tcPr>
          <w:p w14:paraId="1613BAF7" w14:textId="606C242B" w:rsidR="006C414D" w:rsidRPr="005A63A9" w:rsidRDefault="006C414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C</w:t>
            </w:r>
          </w:p>
        </w:tc>
        <w:tc>
          <w:tcPr>
            <w:tcW w:w="3303" w:type="dxa"/>
            <w:tcBorders>
              <w:top w:val="none" w:sz="0" w:space="0" w:color="auto"/>
              <w:bottom w:val="none" w:sz="0" w:space="0" w:color="auto"/>
              <w:right w:val="none" w:sz="0" w:space="0" w:color="auto"/>
            </w:tcBorders>
            <w:noWrap/>
            <w:vAlign w:val="center"/>
            <w:hideMark/>
          </w:tcPr>
          <w:p w14:paraId="0DF85160" w14:textId="337B5350" w:rsidR="006C414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2C8B23E0"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37583E92"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5.12</w:t>
            </w:r>
          </w:p>
        </w:tc>
        <w:tc>
          <w:tcPr>
            <w:tcW w:w="3024" w:type="dxa"/>
            <w:shd w:val="clear" w:color="auto" w:fill="auto"/>
            <w:noWrap/>
            <w:vAlign w:val="center"/>
            <w:hideMark/>
          </w:tcPr>
          <w:p w14:paraId="4F6537BC" w14:textId="3A736D5A" w:rsidR="006C414D" w:rsidRPr="005A63A9" w:rsidRDefault="006C414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noWrap/>
            <w:vAlign w:val="center"/>
            <w:hideMark/>
          </w:tcPr>
          <w:p w14:paraId="7918192F" w14:textId="045FC345" w:rsidR="006C414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0DC0AB52"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70EC0F54"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5.13</w:t>
            </w:r>
          </w:p>
        </w:tc>
        <w:tc>
          <w:tcPr>
            <w:tcW w:w="3024" w:type="dxa"/>
            <w:tcBorders>
              <w:top w:val="none" w:sz="0" w:space="0" w:color="auto"/>
              <w:bottom w:val="none" w:sz="0" w:space="0" w:color="auto"/>
            </w:tcBorders>
            <w:shd w:val="clear" w:color="auto" w:fill="auto"/>
            <w:noWrap/>
            <w:vAlign w:val="center"/>
            <w:hideMark/>
          </w:tcPr>
          <w:p w14:paraId="2B150A3E" w14:textId="4B708DDD" w:rsidR="006C414D" w:rsidRPr="005A63A9" w:rsidRDefault="006C414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6136C8C2" w14:textId="7FA74632" w:rsidR="006C414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13BC421D"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33793165"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5.14</w:t>
            </w:r>
          </w:p>
        </w:tc>
        <w:tc>
          <w:tcPr>
            <w:tcW w:w="3024" w:type="dxa"/>
            <w:shd w:val="clear" w:color="auto" w:fill="auto"/>
            <w:noWrap/>
            <w:vAlign w:val="center"/>
            <w:hideMark/>
          </w:tcPr>
          <w:p w14:paraId="4B68C9E8" w14:textId="55095EEA" w:rsidR="006C414D" w:rsidRPr="005A63A9" w:rsidRDefault="006C414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B</w:t>
            </w:r>
          </w:p>
        </w:tc>
        <w:tc>
          <w:tcPr>
            <w:tcW w:w="3303" w:type="dxa"/>
            <w:noWrap/>
            <w:vAlign w:val="center"/>
            <w:hideMark/>
          </w:tcPr>
          <w:p w14:paraId="0E16976F" w14:textId="6ED768CF" w:rsidR="006C414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Weak</w:t>
            </w:r>
          </w:p>
        </w:tc>
      </w:tr>
      <w:tr w:rsidR="006C414D" w:rsidRPr="005A63A9" w14:paraId="27DCF74D"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3840FC45" w14:textId="7777777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5.15</w:t>
            </w:r>
          </w:p>
        </w:tc>
        <w:tc>
          <w:tcPr>
            <w:tcW w:w="3024" w:type="dxa"/>
            <w:tcBorders>
              <w:top w:val="none" w:sz="0" w:space="0" w:color="auto"/>
              <w:bottom w:val="none" w:sz="0" w:space="0" w:color="auto"/>
            </w:tcBorders>
            <w:shd w:val="clear" w:color="auto" w:fill="auto"/>
            <w:noWrap/>
            <w:vAlign w:val="center"/>
            <w:hideMark/>
          </w:tcPr>
          <w:p w14:paraId="301AC393" w14:textId="6C25C311" w:rsidR="006C414D" w:rsidRPr="005A63A9" w:rsidRDefault="006C414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0DCDB672" w14:textId="2573CBA0" w:rsidR="006C414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1639EE34"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3FCB4C54" w14:textId="1A2BB167"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5.16</w:t>
            </w:r>
          </w:p>
        </w:tc>
        <w:tc>
          <w:tcPr>
            <w:tcW w:w="3024" w:type="dxa"/>
            <w:shd w:val="clear" w:color="auto" w:fill="auto"/>
            <w:noWrap/>
            <w:vAlign w:val="center"/>
          </w:tcPr>
          <w:p w14:paraId="753C16C4" w14:textId="7FB9524A" w:rsidR="006C414D" w:rsidRPr="005A63A9" w:rsidRDefault="006C414D"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color w:val="000000"/>
                <w:szCs w:val="18"/>
              </w:rPr>
              <w:t>B</w:t>
            </w:r>
          </w:p>
        </w:tc>
        <w:tc>
          <w:tcPr>
            <w:tcW w:w="3303" w:type="dxa"/>
            <w:noWrap/>
            <w:vAlign w:val="center"/>
          </w:tcPr>
          <w:p w14:paraId="1D425EC2" w14:textId="43AEB8F4" w:rsidR="006C414D"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6C414D" w:rsidRPr="005A63A9" w14:paraId="6844BF28"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tcPr>
          <w:p w14:paraId="1F235E08" w14:textId="77EE8B81" w:rsidR="006C414D" w:rsidRPr="005A63A9" w:rsidRDefault="006C414D" w:rsidP="000C7102">
            <w:pPr>
              <w:rPr>
                <w:rFonts w:eastAsia="Times New Roman" w:cs="Times New Roman"/>
                <w:b w:val="0"/>
                <w:color w:val="000000"/>
                <w:szCs w:val="18"/>
              </w:rPr>
            </w:pPr>
            <w:r w:rsidRPr="005A63A9">
              <w:rPr>
                <w:rFonts w:eastAsia="Times New Roman" w:cs="Times New Roman"/>
                <w:b w:val="0"/>
                <w:color w:val="000000"/>
                <w:szCs w:val="18"/>
              </w:rPr>
              <w:t>5.17</w:t>
            </w:r>
          </w:p>
        </w:tc>
        <w:tc>
          <w:tcPr>
            <w:tcW w:w="3024" w:type="dxa"/>
            <w:tcBorders>
              <w:top w:val="none" w:sz="0" w:space="0" w:color="auto"/>
              <w:bottom w:val="none" w:sz="0" w:space="0" w:color="auto"/>
            </w:tcBorders>
            <w:shd w:val="clear" w:color="auto" w:fill="auto"/>
            <w:noWrap/>
            <w:vAlign w:val="center"/>
          </w:tcPr>
          <w:p w14:paraId="2ADB2423" w14:textId="0396EF7A" w:rsidR="006C414D" w:rsidRPr="005A63A9" w:rsidRDefault="006C414D"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color w:val="000000"/>
                <w:szCs w:val="18"/>
              </w:rPr>
              <w:t>GPP</w:t>
            </w:r>
          </w:p>
        </w:tc>
        <w:tc>
          <w:tcPr>
            <w:tcW w:w="3303" w:type="dxa"/>
            <w:tcBorders>
              <w:top w:val="none" w:sz="0" w:space="0" w:color="auto"/>
              <w:bottom w:val="none" w:sz="0" w:space="0" w:color="auto"/>
              <w:right w:val="none" w:sz="0" w:space="0" w:color="auto"/>
            </w:tcBorders>
            <w:noWrap/>
            <w:vAlign w:val="center"/>
          </w:tcPr>
          <w:p w14:paraId="34061447" w14:textId="3AA1A832" w:rsidR="006C414D"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66AAC8A5"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63080E2D"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6.1</w:t>
            </w:r>
          </w:p>
        </w:tc>
        <w:tc>
          <w:tcPr>
            <w:tcW w:w="3024" w:type="dxa"/>
            <w:noWrap/>
            <w:vAlign w:val="center"/>
            <w:hideMark/>
          </w:tcPr>
          <w:p w14:paraId="4714BFF2"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noWrap/>
            <w:vAlign w:val="center"/>
            <w:hideMark/>
          </w:tcPr>
          <w:p w14:paraId="02147A77" w14:textId="2D7C1A4F"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59F5EC1F"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40E06299"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7.1</w:t>
            </w:r>
          </w:p>
        </w:tc>
        <w:tc>
          <w:tcPr>
            <w:tcW w:w="3024" w:type="dxa"/>
            <w:tcBorders>
              <w:top w:val="none" w:sz="0" w:space="0" w:color="auto"/>
              <w:bottom w:val="none" w:sz="0" w:space="0" w:color="auto"/>
            </w:tcBorders>
            <w:noWrap/>
            <w:vAlign w:val="center"/>
            <w:hideMark/>
          </w:tcPr>
          <w:p w14:paraId="7B334D56"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tcBorders>
              <w:top w:val="none" w:sz="0" w:space="0" w:color="auto"/>
              <w:bottom w:val="none" w:sz="0" w:space="0" w:color="auto"/>
              <w:right w:val="none" w:sz="0" w:space="0" w:color="auto"/>
            </w:tcBorders>
            <w:noWrap/>
            <w:vAlign w:val="center"/>
            <w:hideMark/>
          </w:tcPr>
          <w:p w14:paraId="7A2AE090" w14:textId="55B9DDE3"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Weak</w:t>
            </w:r>
          </w:p>
        </w:tc>
      </w:tr>
      <w:tr w:rsidR="000F62EF" w:rsidRPr="005A63A9" w14:paraId="56F02156"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4A704C2F"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7.2</w:t>
            </w:r>
          </w:p>
        </w:tc>
        <w:tc>
          <w:tcPr>
            <w:tcW w:w="3024" w:type="dxa"/>
            <w:noWrap/>
            <w:vAlign w:val="center"/>
            <w:hideMark/>
          </w:tcPr>
          <w:p w14:paraId="512788A1"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B</w:t>
            </w:r>
          </w:p>
        </w:tc>
        <w:tc>
          <w:tcPr>
            <w:tcW w:w="3303" w:type="dxa"/>
            <w:noWrap/>
            <w:vAlign w:val="center"/>
            <w:hideMark/>
          </w:tcPr>
          <w:p w14:paraId="74B1755B" w14:textId="59EE4FB9"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28580F15"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553BD50E"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7.3</w:t>
            </w:r>
          </w:p>
        </w:tc>
        <w:tc>
          <w:tcPr>
            <w:tcW w:w="3024" w:type="dxa"/>
            <w:tcBorders>
              <w:top w:val="none" w:sz="0" w:space="0" w:color="auto"/>
              <w:bottom w:val="none" w:sz="0" w:space="0" w:color="auto"/>
            </w:tcBorders>
            <w:noWrap/>
            <w:vAlign w:val="center"/>
            <w:hideMark/>
          </w:tcPr>
          <w:p w14:paraId="73695ABE"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2BCB1101" w14:textId="7D745BDD"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426EEFD1"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5547698D"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7.4</w:t>
            </w:r>
          </w:p>
        </w:tc>
        <w:tc>
          <w:tcPr>
            <w:tcW w:w="3024" w:type="dxa"/>
            <w:noWrap/>
            <w:vAlign w:val="center"/>
            <w:hideMark/>
          </w:tcPr>
          <w:p w14:paraId="2FA926A8"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noWrap/>
            <w:vAlign w:val="center"/>
            <w:hideMark/>
          </w:tcPr>
          <w:p w14:paraId="073CCC1C" w14:textId="1D582355"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74D63766"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34F2EDC2"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7.5</w:t>
            </w:r>
          </w:p>
        </w:tc>
        <w:tc>
          <w:tcPr>
            <w:tcW w:w="3024" w:type="dxa"/>
            <w:tcBorders>
              <w:top w:val="none" w:sz="0" w:space="0" w:color="auto"/>
              <w:bottom w:val="none" w:sz="0" w:space="0" w:color="auto"/>
            </w:tcBorders>
            <w:noWrap/>
            <w:vAlign w:val="center"/>
            <w:hideMark/>
          </w:tcPr>
          <w:p w14:paraId="6697F43B"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6E816395" w14:textId="7604FD11"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5729F408"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59183006"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9.1</w:t>
            </w:r>
          </w:p>
        </w:tc>
        <w:tc>
          <w:tcPr>
            <w:tcW w:w="3024" w:type="dxa"/>
            <w:noWrap/>
            <w:vAlign w:val="center"/>
            <w:hideMark/>
          </w:tcPr>
          <w:p w14:paraId="0FF74CA5"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noWrap/>
            <w:vAlign w:val="center"/>
            <w:hideMark/>
          </w:tcPr>
          <w:p w14:paraId="1D441017" w14:textId="5B620ECB"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298D63AF"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7F83C127"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9.2</w:t>
            </w:r>
          </w:p>
        </w:tc>
        <w:tc>
          <w:tcPr>
            <w:tcW w:w="3024" w:type="dxa"/>
            <w:tcBorders>
              <w:top w:val="none" w:sz="0" w:space="0" w:color="auto"/>
              <w:bottom w:val="none" w:sz="0" w:space="0" w:color="auto"/>
            </w:tcBorders>
            <w:noWrap/>
            <w:vAlign w:val="center"/>
            <w:hideMark/>
          </w:tcPr>
          <w:p w14:paraId="7C95E4BC"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GPP</w:t>
            </w:r>
          </w:p>
        </w:tc>
        <w:tc>
          <w:tcPr>
            <w:tcW w:w="3303" w:type="dxa"/>
            <w:tcBorders>
              <w:top w:val="none" w:sz="0" w:space="0" w:color="auto"/>
              <w:bottom w:val="none" w:sz="0" w:space="0" w:color="auto"/>
              <w:right w:val="none" w:sz="0" w:space="0" w:color="auto"/>
            </w:tcBorders>
            <w:noWrap/>
            <w:vAlign w:val="center"/>
            <w:hideMark/>
          </w:tcPr>
          <w:p w14:paraId="1D74EBF9" w14:textId="7DA5AD10"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r w:rsidR="000F62EF" w:rsidRPr="005A63A9" w14:paraId="6F38A682" w14:textId="77777777" w:rsidTr="00F327A6">
        <w:trPr>
          <w:trHeight w:val="340"/>
        </w:trPr>
        <w:tc>
          <w:tcPr>
            <w:cnfStyle w:val="001000000000" w:firstRow="0" w:lastRow="0" w:firstColumn="1" w:lastColumn="0" w:oddVBand="0" w:evenVBand="0" w:oddHBand="0" w:evenHBand="0" w:firstRowFirstColumn="0" w:firstRowLastColumn="0" w:lastRowFirstColumn="0" w:lastRowLastColumn="0"/>
            <w:tcW w:w="3024" w:type="dxa"/>
            <w:noWrap/>
            <w:vAlign w:val="center"/>
            <w:hideMark/>
          </w:tcPr>
          <w:p w14:paraId="3035FB34"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t>9.3</w:t>
            </w:r>
          </w:p>
        </w:tc>
        <w:tc>
          <w:tcPr>
            <w:tcW w:w="3024" w:type="dxa"/>
            <w:noWrap/>
            <w:vAlign w:val="center"/>
            <w:hideMark/>
          </w:tcPr>
          <w:p w14:paraId="21F2D06F" w14:textId="77777777" w:rsidR="000F62EF" w:rsidRPr="005A63A9" w:rsidRDefault="000F62EF"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C</w:t>
            </w:r>
          </w:p>
        </w:tc>
        <w:tc>
          <w:tcPr>
            <w:tcW w:w="3303" w:type="dxa"/>
            <w:noWrap/>
            <w:vAlign w:val="center"/>
            <w:hideMark/>
          </w:tcPr>
          <w:p w14:paraId="7B33044B" w14:textId="45325BC8" w:rsidR="000F62EF" w:rsidRPr="005A63A9" w:rsidRDefault="00F327A6" w:rsidP="000C710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Weak</w:t>
            </w:r>
          </w:p>
        </w:tc>
      </w:tr>
      <w:tr w:rsidR="000F62EF" w:rsidRPr="005A63A9" w14:paraId="16BD38AE" w14:textId="77777777" w:rsidTr="00F327A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24" w:type="dxa"/>
            <w:tcBorders>
              <w:top w:val="none" w:sz="0" w:space="0" w:color="auto"/>
              <w:left w:val="none" w:sz="0" w:space="0" w:color="auto"/>
              <w:bottom w:val="none" w:sz="0" w:space="0" w:color="auto"/>
            </w:tcBorders>
            <w:noWrap/>
            <w:vAlign w:val="center"/>
            <w:hideMark/>
          </w:tcPr>
          <w:p w14:paraId="6B58AD67" w14:textId="77777777" w:rsidR="000F62EF" w:rsidRPr="005A63A9" w:rsidRDefault="000F62EF" w:rsidP="000C7102">
            <w:pPr>
              <w:rPr>
                <w:rFonts w:eastAsia="Times New Roman" w:cs="Times New Roman"/>
                <w:b w:val="0"/>
                <w:color w:val="000000"/>
                <w:szCs w:val="18"/>
              </w:rPr>
            </w:pPr>
            <w:r w:rsidRPr="005A63A9">
              <w:rPr>
                <w:rFonts w:eastAsia="Times New Roman" w:cs="Times New Roman"/>
                <w:b w:val="0"/>
                <w:color w:val="000000"/>
                <w:szCs w:val="18"/>
              </w:rPr>
              <w:lastRenderedPageBreak/>
              <w:t>9.4</w:t>
            </w:r>
          </w:p>
        </w:tc>
        <w:tc>
          <w:tcPr>
            <w:tcW w:w="3024" w:type="dxa"/>
            <w:tcBorders>
              <w:top w:val="none" w:sz="0" w:space="0" w:color="auto"/>
              <w:bottom w:val="none" w:sz="0" w:space="0" w:color="auto"/>
            </w:tcBorders>
            <w:noWrap/>
            <w:vAlign w:val="center"/>
            <w:hideMark/>
          </w:tcPr>
          <w:p w14:paraId="44014313" w14:textId="77777777" w:rsidR="000F62EF" w:rsidRPr="005A63A9" w:rsidRDefault="000F62EF"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C</w:t>
            </w:r>
          </w:p>
        </w:tc>
        <w:tc>
          <w:tcPr>
            <w:tcW w:w="3303" w:type="dxa"/>
            <w:tcBorders>
              <w:top w:val="none" w:sz="0" w:space="0" w:color="auto"/>
              <w:bottom w:val="none" w:sz="0" w:space="0" w:color="auto"/>
              <w:right w:val="none" w:sz="0" w:space="0" w:color="auto"/>
            </w:tcBorders>
            <w:noWrap/>
            <w:vAlign w:val="center"/>
            <w:hideMark/>
          </w:tcPr>
          <w:p w14:paraId="7F771713" w14:textId="3B843775" w:rsidR="000F62EF" w:rsidRPr="005A63A9" w:rsidRDefault="00F327A6" w:rsidP="000C710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18"/>
              </w:rPr>
            </w:pPr>
            <w:r w:rsidRPr="005A63A9">
              <w:rPr>
                <w:rFonts w:eastAsia="Times New Roman" w:cs="Times New Roman"/>
                <w:color w:val="000000"/>
                <w:szCs w:val="18"/>
              </w:rPr>
              <w:t>Strong</w:t>
            </w:r>
          </w:p>
        </w:tc>
      </w:tr>
    </w:tbl>
    <w:p w14:paraId="1D362BF2" w14:textId="77777777" w:rsidR="00FF714E" w:rsidRPr="005A63A9" w:rsidRDefault="00FF714E" w:rsidP="00BE66D6">
      <w:pPr>
        <w:rPr>
          <w:sz w:val="2"/>
          <w:szCs w:val="2"/>
        </w:rPr>
      </w:pPr>
    </w:p>
    <w:p w14:paraId="74341997" w14:textId="2555E868" w:rsidR="00BA1A59" w:rsidRPr="00356F51" w:rsidRDefault="00BA1A59" w:rsidP="005A63A9">
      <w:pPr>
        <w:pStyle w:val="Heading2"/>
      </w:pPr>
      <w:r w:rsidRPr="00356F51">
        <w:t>About these guidelines</w:t>
      </w:r>
    </w:p>
    <w:p w14:paraId="0DC6A068" w14:textId="77777777" w:rsidR="00BA1A59" w:rsidRPr="00356F51" w:rsidRDefault="00BA1A59" w:rsidP="00DC2142">
      <w:pPr>
        <w:pStyle w:val="Heading3"/>
      </w:pPr>
      <w:r w:rsidRPr="00492FD7">
        <w:t>Methodology</w:t>
      </w:r>
    </w:p>
    <w:p w14:paraId="49496BED" w14:textId="3E64B9DD" w:rsidR="006C414D" w:rsidRDefault="006C414D" w:rsidP="006C414D">
      <w:pPr>
        <w:spacing w:after="0"/>
      </w:pPr>
      <w:r>
        <w:t xml:space="preserve">The process by which this chapter has been developed has been documented within the GPAS </w:t>
      </w:r>
      <w:r w:rsidR="00F327A6">
        <w:t>c</w:t>
      </w:r>
      <w:r>
        <w:t xml:space="preserve">hapter </w:t>
      </w:r>
      <w:r w:rsidR="00F327A6">
        <w:t>development process d</w:t>
      </w:r>
      <w:r>
        <w:t xml:space="preserve">ocument. </w:t>
      </w:r>
    </w:p>
    <w:p w14:paraId="5671770C" w14:textId="77777777" w:rsidR="000C7102" w:rsidRDefault="000C7102" w:rsidP="006C414D">
      <w:pPr>
        <w:spacing w:after="0"/>
      </w:pPr>
    </w:p>
    <w:p w14:paraId="20BE35AC" w14:textId="29EB5E09" w:rsidR="006C414D" w:rsidRDefault="006C414D" w:rsidP="006C414D">
      <w:pPr>
        <w:spacing w:after="0"/>
      </w:pPr>
      <w:r>
        <w:t xml:space="preserve">The evidence included in this chapter is based on a systematic search of the literature. Abstracts were independently screened by two investigators and reviewed against inclusion and exclusion criteria. Data were extracted by one investigator in accordance with predefined criteria. The review objective was to determine the key components needed to ensure provision of high-quality day surgery services for patients who have undergone surgery and/or interventions which involve anaesthesia. </w:t>
      </w:r>
    </w:p>
    <w:p w14:paraId="4583475A" w14:textId="77777777" w:rsidR="006C414D" w:rsidRDefault="006C414D" w:rsidP="006C414D">
      <w:pPr>
        <w:spacing w:after="0"/>
      </w:pPr>
    </w:p>
    <w:p w14:paraId="3C1DC168" w14:textId="77777777" w:rsidR="006C414D" w:rsidRPr="00492FD7" w:rsidRDefault="006C414D" w:rsidP="00DC2142">
      <w:pPr>
        <w:pStyle w:val="Heading3"/>
      </w:pPr>
      <w:r w:rsidRPr="00492FD7">
        <w:t>Search strategy</w:t>
      </w:r>
    </w:p>
    <w:p w14:paraId="0F3478CA" w14:textId="31511CF5" w:rsidR="00BA1A59" w:rsidRPr="00356F51" w:rsidRDefault="006C414D" w:rsidP="006C414D">
      <w:pPr>
        <w:spacing w:after="0"/>
      </w:pPr>
      <w:r>
        <w:t>Searches were performed on Embase (1980 to 2015), Ovid MEDLINE (1946 to present), CINAHL and Cochrane Library, for the literature search strategy, outcomes, databases, criteria for inclusion and exclusion of evidence (for the full n</w:t>
      </w:r>
      <w:r w:rsidR="00F87680" w:rsidRPr="00356F51">
        <w:t>euroanaesthesia</w:t>
      </w:r>
      <w:r>
        <w:t xml:space="preserve"> chapter search p</w:t>
      </w:r>
      <w:r w:rsidR="00BA1A59" w:rsidRPr="00356F51">
        <w:t>rotocol</w:t>
      </w:r>
      <w:r>
        <w:t xml:space="preserve"> please contact the RCoA)</w:t>
      </w:r>
      <w:r w:rsidR="00BA1A59" w:rsidRPr="00356F51">
        <w:t>. A hand search of the literature was also conducted by the authors using the reference lists of relevant original articles and review articles.</w:t>
      </w:r>
    </w:p>
    <w:p w14:paraId="6B0A8B89" w14:textId="77777777" w:rsidR="00BA1A59" w:rsidRPr="00356F51" w:rsidRDefault="00BA1A59" w:rsidP="00BA1A59">
      <w:pPr>
        <w:spacing w:after="0"/>
      </w:pPr>
      <w:r w:rsidRPr="00356F51">
        <w:t xml:space="preserve"> </w:t>
      </w:r>
    </w:p>
    <w:p w14:paraId="0E9802C7" w14:textId="1FEC08E5" w:rsidR="00BA1A59" w:rsidRPr="00356F51" w:rsidRDefault="00BA1A59" w:rsidP="00BA1A59">
      <w:pPr>
        <w:spacing w:after="0"/>
      </w:pPr>
      <w:r w:rsidRPr="00356F51">
        <w:t xml:space="preserve">The literature search was performed </w:t>
      </w:r>
      <w:r w:rsidR="00FF714E">
        <w:t>in September 2016</w:t>
      </w:r>
      <w:r w:rsidRPr="00356F51">
        <w:t>.</w:t>
      </w:r>
    </w:p>
    <w:p w14:paraId="78AF5771" w14:textId="77777777" w:rsidR="00BA1A59" w:rsidRPr="00356F51" w:rsidRDefault="00BA1A59" w:rsidP="00BA1A59">
      <w:pPr>
        <w:spacing w:after="0"/>
      </w:pPr>
    </w:p>
    <w:p w14:paraId="79BA915E" w14:textId="1C470BB1" w:rsidR="00BA1A59" w:rsidRPr="00356F51" w:rsidRDefault="00BA1A59" w:rsidP="000C7102">
      <w:r w:rsidRPr="00356F51">
        <w:t>The authors and researcher independently reviewed the abstracts and titles of the studies found in the initial search. After agreement on the primary selection of papers, full</w:t>
      </w:r>
      <w:r w:rsidR="007C68C8">
        <w:t>-</w:t>
      </w:r>
      <w:r w:rsidRPr="00356F51">
        <w:t>text versions were accessed and reviewed against the following predefined inclusion and exclusion criteria. The full</w:t>
      </w:r>
      <w:r w:rsidR="007C68C8">
        <w:t>-</w:t>
      </w:r>
      <w:r w:rsidRPr="00356F51">
        <w:t>text papers were also reviewed by the Chapter Development Group (CDG) for suitability</w:t>
      </w:r>
      <w:r w:rsidR="007C68C8">
        <w:t>. T</w:t>
      </w:r>
      <w:r w:rsidRPr="00356F51">
        <w:t>he final list of publications used can be found in the references.</w:t>
      </w:r>
    </w:p>
    <w:p w14:paraId="0567C527" w14:textId="384B05F5" w:rsidR="00BA1A59" w:rsidRPr="00492FD7" w:rsidRDefault="00BA1A59" w:rsidP="00DC2142">
      <w:pPr>
        <w:pStyle w:val="Heading3"/>
      </w:pPr>
      <w:r w:rsidRPr="00492FD7">
        <w:t xml:space="preserve">Inclusion </w:t>
      </w:r>
      <w:r w:rsidR="000D78FC" w:rsidRPr="00492FD7">
        <w:t>criteria</w:t>
      </w:r>
    </w:p>
    <w:p w14:paraId="79032256" w14:textId="77777777" w:rsidR="00BA1A59" w:rsidRPr="00356F51" w:rsidRDefault="00BA1A59" w:rsidP="00BA1A59">
      <w:r w:rsidRPr="00356F51">
        <w:t>The literature review considered studies that included the following patient population with all of the inclusion criteria listed below:</w:t>
      </w:r>
    </w:p>
    <w:p w14:paraId="08492DCA" w14:textId="1AECD80E" w:rsidR="005C5863" w:rsidRDefault="005A63A9" w:rsidP="000C7102">
      <w:pPr>
        <w:pStyle w:val="bullets"/>
      </w:pPr>
      <w:r>
        <w:t>a</w:t>
      </w:r>
      <w:r w:rsidR="005C5863">
        <w:t>ll patients undergoing elective or emergency anaesthesia</w:t>
      </w:r>
    </w:p>
    <w:p w14:paraId="7A6E4B43" w14:textId="258FD0FC" w:rsidR="00BA1A59" w:rsidRPr="00356F51" w:rsidRDefault="005A63A9" w:rsidP="000C7102">
      <w:pPr>
        <w:pStyle w:val="bullets"/>
        <w:spacing w:after="200"/>
      </w:pPr>
      <w:r>
        <w:t>a</w:t>
      </w:r>
      <w:r w:rsidR="005C5863">
        <w:t xml:space="preserve">ll staff groups working within </w:t>
      </w:r>
      <w:r w:rsidR="000D78FC">
        <w:t>neuroanaesthesia</w:t>
      </w:r>
      <w:r w:rsidR="005C5863">
        <w:t xml:space="preserve">, under the responsibility of an </w:t>
      </w:r>
      <w:r w:rsidR="00A44F65">
        <w:t>anaesthetic clinical director, including (but not restricted to) consultant anaesthetists, SAS anaesthetists, anaesthetists</w:t>
      </w:r>
      <w:r w:rsidR="00BD2DDD">
        <w:t xml:space="preserve"> in training</w:t>
      </w:r>
      <w:r w:rsidR="00A44F65">
        <w:t xml:space="preserve">, nurses, operating department practitioners, surgeons, pharmacists, general practitioners, radiologists and radiographers. </w:t>
      </w:r>
    </w:p>
    <w:p w14:paraId="744A41F9" w14:textId="37A73242" w:rsidR="00BA1A59" w:rsidRPr="00492FD7" w:rsidRDefault="00BA1A59" w:rsidP="00DC2142">
      <w:pPr>
        <w:pStyle w:val="Heading3"/>
      </w:pPr>
      <w:r w:rsidRPr="00492FD7">
        <w:t xml:space="preserve">Exclusion </w:t>
      </w:r>
      <w:r w:rsidR="000D78FC" w:rsidRPr="00492FD7">
        <w:t>criteria</w:t>
      </w:r>
    </w:p>
    <w:p w14:paraId="5FD1D861" w14:textId="77777777" w:rsidR="00BA1A59" w:rsidRPr="00356F51" w:rsidRDefault="00BA1A59" w:rsidP="00BA1A59">
      <w:r w:rsidRPr="00356F51">
        <w:t>The literature review used the following exclusion criteria:</w:t>
      </w:r>
    </w:p>
    <w:p w14:paraId="1066E2E0" w14:textId="128AD374" w:rsidR="00BA1A59" w:rsidRPr="00356F51" w:rsidRDefault="005A63A9" w:rsidP="000C7102">
      <w:pPr>
        <w:pStyle w:val="bullets"/>
        <w:spacing w:after="200"/>
      </w:pPr>
      <w:r>
        <w:t>p</w:t>
      </w:r>
      <w:r w:rsidR="0010324A">
        <w:t>rovision of n</w:t>
      </w:r>
      <w:r w:rsidR="005C5863" w:rsidRPr="005C5863">
        <w:t>euroanaesthesia service provided by a speciality other than anaesthesia</w:t>
      </w:r>
      <w:r w:rsidR="000D78FC">
        <w:t>.</w:t>
      </w:r>
    </w:p>
    <w:p w14:paraId="561A527D" w14:textId="5A470E68" w:rsidR="00BA1A59" w:rsidRPr="00492FD7" w:rsidRDefault="00BA1A59" w:rsidP="00DC2142">
      <w:pPr>
        <w:pStyle w:val="Heading3"/>
      </w:pPr>
      <w:r w:rsidRPr="00492FD7">
        <w:t xml:space="preserve">Data </w:t>
      </w:r>
      <w:r w:rsidR="00BE66D6" w:rsidRPr="00492FD7">
        <w:t xml:space="preserve">Extraction </w:t>
      </w:r>
      <w:r w:rsidRPr="00492FD7">
        <w:t xml:space="preserve">and </w:t>
      </w:r>
      <w:r w:rsidR="00BE66D6" w:rsidRPr="00492FD7">
        <w:t>Analysis</w:t>
      </w:r>
    </w:p>
    <w:p w14:paraId="4ADB5835" w14:textId="213572B5" w:rsidR="00BA1A59" w:rsidRPr="00356F51" w:rsidRDefault="00BA1A59" w:rsidP="005A63A9">
      <w:pPr>
        <w:spacing w:after="100"/>
      </w:pPr>
      <w:r w:rsidRPr="00356F51">
        <w:t>Data were extracted by the authors using a proforma. The study characteristics data included:</w:t>
      </w:r>
    </w:p>
    <w:p w14:paraId="5BD3B814" w14:textId="4B0D9C00" w:rsidR="00BA1A59" w:rsidRPr="00356F51" w:rsidRDefault="005A63A9" w:rsidP="000C7102">
      <w:pPr>
        <w:pStyle w:val="bullets"/>
      </w:pPr>
      <w:r>
        <w:t>t</w:t>
      </w:r>
      <w:r w:rsidR="00AE0CF6" w:rsidRPr="00356F51">
        <w:t xml:space="preserve">he </w:t>
      </w:r>
      <w:r w:rsidR="00A44F65">
        <w:t>j</w:t>
      </w:r>
      <w:r w:rsidR="00BA1A59" w:rsidRPr="00356F51">
        <w:t xml:space="preserve">ournal and country of publication </w:t>
      </w:r>
    </w:p>
    <w:p w14:paraId="6449B466" w14:textId="76EF065C" w:rsidR="00BA1A59" w:rsidRPr="00356F51" w:rsidRDefault="005A63A9" w:rsidP="000C7102">
      <w:pPr>
        <w:pStyle w:val="bullets"/>
      </w:pPr>
      <w:r>
        <w:lastRenderedPageBreak/>
        <w:t>t</w:t>
      </w:r>
      <w:r w:rsidR="00AE0CF6" w:rsidRPr="00356F51">
        <w:t xml:space="preserve">he </w:t>
      </w:r>
      <w:r w:rsidR="00BA1A59" w:rsidRPr="00356F51">
        <w:t>number of patients recruited into the study</w:t>
      </w:r>
    </w:p>
    <w:p w14:paraId="7A9AA4C9" w14:textId="145997AD" w:rsidR="00BA1A59" w:rsidRPr="00356F51" w:rsidRDefault="005A63A9" w:rsidP="000C7102">
      <w:pPr>
        <w:pStyle w:val="bullets"/>
      </w:pPr>
      <w:r>
        <w:t>t</w:t>
      </w:r>
      <w:r w:rsidR="00AE0CF6" w:rsidRPr="00356F51">
        <w:t xml:space="preserve">he </w:t>
      </w:r>
      <w:r w:rsidR="00BA1A59" w:rsidRPr="00356F51">
        <w:t>study design</w:t>
      </w:r>
    </w:p>
    <w:p w14:paraId="19B0BD44" w14:textId="11553A97" w:rsidR="00BA1A59" w:rsidRPr="00356F51" w:rsidRDefault="005A63A9" w:rsidP="000C7102">
      <w:pPr>
        <w:pStyle w:val="bullets"/>
      </w:pPr>
      <w:r>
        <w:t>p</w:t>
      </w:r>
      <w:r w:rsidR="00AE0CF6" w:rsidRPr="00356F51">
        <w:t xml:space="preserve">atient </w:t>
      </w:r>
      <w:r w:rsidR="00BA1A59" w:rsidRPr="00356F51">
        <w:t>characteristics</w:t>
      </w:r>
    </w:p>
    <w:p w14:paraId="2C599220" w14:textId="1C37781C" w:rsidR="00BA1A59" w:rsidRPr="00356F51" w:rsidRDefault="005A63A9" w:rsidP="000C7102">
      <w:pPr>
        <w:pStyle w:val="bullets"/>
      </w:pPr>
      <w:r>
        <w:t>o</w:t>
      </w:r>
      <w:r w:rsidR="00AE0CF6" w:rsidRPr="00356F51">
        <w:t xml:space="preserve">utcome </w:t>
      </w:r>
      <w:r w:rsidR="00BA1A59" w:rsidRPr="00356F51">
        <w:t>data</w:t>
      </w:r>
    </w:p>
    <w:p w14:paraId="0347A6DA" w14:textId="2A0788D1" w:rsidR="00BA1A59" w:rsidRPr="00356F51" w:rsidRDefault="005A63A9" w:rsidP="000C7102">
      <w:pPr>
        <w:pStyle w:val="bullets"/>
      </w:pPr>
      <w:r>
        <w:t>t</w:t>
      </w:r>
      <w:r w:rsidR="00AE0CF6" w:rsidRPr="00356F51">
        <w:t xml:space="preserve">he </w:t>
      </w:r>
      <w:r w:rsidR="00BA1A59" w:rsidRPr="00356F51">
        <w:t>logic of the argument</w:t>
      </w:r>
    </w:p>
    <w:p w14:paraId="6ED8A8C6" w14:textId="39665B68" w:rsidR="00BA1A59" w:rsidRPr="00356F51" w:rsidRDefault="005A63A9" w:rsidP="000C7102">
      <w:pPr>
        <w:pStyle w:val="bullets"/>
      </w:pPr>
      <w:r>
        <w:t>a</w:t>
      </w:r>
      <w:r w:rsidR="00AE0CF6" w:rsidRPr="00356F51">
        <w:t xml:space="preserve">uthor’s </w:t>
      </w:r>
      <w:r w:rsidR="00BA1A59" w:rsidRPr="00356F51">
        <w:t xml:space="preserve">conclusions </w:t>
      </w:r>
    </w:p>
    <w:p w14:paraId="1F75B0B0" w14:textId="760A27F1" w:rsidR="005A63A9" w:rsidRDefault="005A63A9" w:rsidP="00267B6C">
      <w:pPr>
        <w:pStyle w:val="bullets"/>
        <w:spacing w:after="200" w:line="276" w:lineRule="auto"/>
      </w:pPr>
      <w:r>
        <w:t>r</w:t>
      </w:r>
      <w:r w:rsidR="00AE0CF6" w:rsidRPr="00356F51">
        <w:t xml:space="preserve">eviewer’s </w:t>
      </w:r>
      <w:r w:rsidR="00BA1A59" w:rsidRPr="00356F51">
        <w:t>comments</w:t>
      </w:r>
      <w:r>
        <w:t>.</w:t>
      </w:r>
    </w:p>
    <w:p w14:paraId="01080896" w14:textId="0AC28B87" w:rsidR="00BA1A59" w:rsidRPr="00356F51" w:rsidRDefault="00BA1A59" w:rsidP="00BA1A59">
      <w:pPr>
        <w:spacing w:after="0"/>
      </w:pPr>
      <w:r w:rsidRPr="00356F51">
        <w:t>The patient characteristics data extracted were; age, gender and type of surgery. The analysis consider</w:t>
      </w:r>
      <w:r w:rsidR="00A44F65">
        <w:t>s</w:t>
      </w:r>
      <w:r w:rsidRPr="00356F51">
        <w:t xml:space="preserve"> studies that included any clinical outcome, including (but not restricted to) survival, length of stay</w:t>
      </w:r>
      <w:r w:rsidR="00AE0CF6">
        <w:t>,</w:t>
      </w:r>
      <w:r w:rsidRPr="00356F51">
        <w:t xml:space="preserve"> critical care or hospital, morbidity, adverse effects and complications.</w:t>
      </w:r>
    </w:p>
    <w:p w14:paraId="2C3E2242" w14:textId="77777777" w:rsidR="00BA1A59" w:rsidRPr="00356F51" w:rsidRDefault="00BA1A59" w:rsidP="00BA1A59">
      <w:pPr>
        <w:spacing w:after="0"/>
      </w:pPr>
    </w:p>
    <w:p w14:paraId="66B5078E" w14:textId="77777777" w:rsidR="00BA1A59" w:rsidRPr="00356F51" w:rsidRDefault="00BA1A59" w:rsidP="00BA1A59">
      <w:r w:rsidRPr="00356F51">
        <w:t>The results of the literature review can be seen below:</w:t>
      </w:r>
    </w:p>
    <w:p w14:paraId="33FA49BA" w14:textId="45A1399E" w:rsidR="002D2A98" w:rsidRDefault="00492FD7" w:rsidP="002D2A98">
      <w:pPr>
        <w:jc w:val="center"/>
      </w:pPr>
      <w:r>
        <w:rPr>
          <w:noProof/>
        </w:rPr>
        <w:drawing>
          <wp:inline distT="0" distB="0" distL="0" distR="0" wp14:anchorId="552C350B" wp14:editId="230B383C">
            <wp:extent cx="6104890" cy="4674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sma Flow Chart.jpg"/>
                    <pic:cNvPicPr/>
                  </pic:nvPicPr>
                  <pic:blipFill rotWithShape="1">
                    <a:blip r:embed="rId20">
                      <a:extLst>
                        <a:ext uri="{28A0092B-C50C-407E-A947-70E740481C1C}">
                          <a14:useLocalDpi xmlns:a14="http://schemas.microsoft.com/office/drawing/2010/main" val="0"/>
                        </a:ext>
                      </a:extLst>
                    </a:blip>
                    <a:srcRect l="2036"/>
                    <a:stretch/>
                  </pic:blipFill>
                  <pic:spPr bwMode="auto">
                    <a:xfrm>
                      <a:off x="0" y="0"/>
                      <a:ext cx="6149367" cy="4708190"/>
                    </a:xfrm>
                    <a:prstGeom prst="rect">
                      <a:avLst/>
                    </a:prstGeom>
                    <a:ln>
                      <a:noFill/>
                    </a:ln>
                    <a:extLst>
                      <a:ext uri="{53640926-AAD7-44D8-BBD7-CCE9431645EC}">
                        <a14:shadowObscured xmlns:a14="http://schemas.microsoft.com/office/drawing/2010/main"/>
                      </a:ext>
                    </a:extLst>
                  </pic:spPr>
                </pic:pic>
              </a:graphicData>
            </a:graphic>
          </wp:inline>
        </w:drawing>
      </w:r>
    </w:p>
    <w:p w14:paraId="49EFC62A" w14:textId="3385EDA3" w:rsidR="00BA1A59" w:rsidRPr="00356F51" w:rsidRDefault="00BA1A59" w:rsidP="00BA1A59">
      <w:r w:rsidRPr="00356F51">
        <w:br w:type="page"/>
      </w:r>
    </w:p>
    <w:p w14:paraId="0E9206E3" w14:textId="41B94460" w:rsidR="00BA1A59" w:rsidRDefault="00BA1A59" w:rsidP="00BA1A59">
      <w:r w:rsidRPr="00356F51">
        <w:lastRenderedPageBreak/>
        <w:t xml:space="preserve">The evidence that is included in this chapter has been graded according to </w:t>
      </w:r>
      <w:r w:rsidR="00A44F65">
        <w:t xml:space="preserve">a </w:t>
      </w:r>
      <w:r w:rsidRPr="00356F51">
        <w:t>grading system adapted from NICE and outlined below:</w:t>
      </w:r>
    </w:p>
    <w:tbl>
      <w:tblPr>
        <w:tblStyle w:val="LightList-Accent1"/>
        <w:tblW w:w="9640" w:type="dxa"/>
        <w:tblInd w:w="-14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21"/>
        <w:gridCol w:w="3803"/>
        <w:gridCol w:w="841"/>
        <w:gridCol w:w="4275"/>
      </w:tblGrid>
      <w:tr w:rsidR="00BD2DDD" w:rsidRPr="00356F51" w14:paraId="76990768" w14:textId="77777777" w:rsidTr="008F2E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91F51" w:themeFill="accent1"/>
            <w:hideMark/>
          </w:tcPr>
          <w:p w14:paraId="295BA3AC" w14:textId="77777777" w:rsidR="00BD2DDD" w:rsidRPr="005A63A9" w:rsidRDefault="00BD2DDD" w:rsidP="008F2E1A">
            <w:pPr>
              <w:spacing w:before="120" w:after="120"/>
              <w:rPr>
                <w:szCs w:val="18"/>
              </w:rPr>
            </w:pPr>
            <w:r w:rsidRPr="005A63A9">
              <w:rPr>
                <w:szCs w:val="18"/>
              </w:rPr>
              <w:t>Level</w:t>
            </w:r>
          </w:p>
        </w:tc>
        <w:tc>
          <w:tcPr>
            <w:tcW w:w="3803" w:type="dxa"/>
            <w:shd w:val="clear" w:color="auto" w:fill="291F51" w:themeFill="accent1"/>
            <w:hideMark/>
          </w:tcPr>
          <w:p w14:paraId="3BA2BF59" w14:textId="77777777" w:rsidR="00BD2DDD" w:rsidRPr="005A63A9" w:rsidRDefault="00BD2DDD" w:rsidP="008F2E1A">
            <w:pPr>
              <w:spacing w:before="120" w:after="120"/>
              <w:cnfStyle w:val="100000000000" w:firstRow="1" w:lastRow="0" w:firstColumn="0" w:lastColumn="0" w:oddVBand="0" w:evenVBand="0" w:oddHBand="0" w:evenHBand="0" w:firstRowFirstColumn="0" w:firstRowLastColumn="0" w:lastRowFirstColumn="0" w:lastRowLastColumn="0"/>
              <w:rPr>
                <w:szCs w:val="18"/>
              </w:rPr>
            </w:pPr>
            <w:r w:rsidRPr="005A63A9">
              <w:rPr>
                <w:szCs w:val="18"/>
              </w:rPr>
              <w:t>Type of evidence</w:t>
            </w:r>
          </w:p>
        </w:tc>
        <w:tc>
          <w:tcPr>
            <w:tcW w:w="0" w:type="auto"/>
            <w:shd w:val="clear" w:color="auto" w:fill="291F51" w:themeFill="accent1"/>
            <w:hideMark/>
          </w:tcPr>
          <w:p w14:paraId="6D938635" w14:textId="77777777" w:rsidR="00BD2DDD" w:rsidRPr="005A63A9" w:rsidRDefault="00BD2DDD" w:rsidP="008F2E1A">
            <w:pPr>
              <w:spacing w:before="120" w:after="120"/>
              <w:cnfStyle w:val="100000000000" w:firstRow="1" w:lastRow="0" w:firstColumn="0" w:lastColumn="0" w:oddVBand="0" w:evenVBand="0" w:oddHBand="0" w:evenHBand="0" w:firstRowFirstColumn="0" w:firstRowLastColumn="0" w:lastRowFirstColumn="0" w:lastRowLastColumn="0"/>
              <w:rPr>
                <w:szCs w:val="18"/>
              </w:rPr>
            </w:pPr>
            <w:r w:rsidRPr="005A63A9">
              <w:rPr>
                <w:szCs w:val="18"/>
              </w:rPr>
              <w:t>Grade</w:t>
            </w:r>
          </w:p>
        </w:tc>
        <w:tc>
          <w:tcPr>
            <w:tcW w:w="4275" w:type="dxa"/>
            <w:shd w:val="clear" w:color="auto" w:fill="291F51" w:themeFill="accent1"/>
            <w:hideMark/>
          </w:tcPr>
          <w:p w14:paraId="4F908707" w14:textId="77777777" w:rsidR="00BD2DDD" w:rsidRPr="005A63A9" w:rsidRDefault="00BD2DDD" w:rsidP="008F2E1A">
            <w:pPr>
              <w:spacing w:before="120" w:after="120"/>
              <w:cnfStyle w:val="100000000000" w:firstRow="1" w:lastRow="0" w:firstColumn="0" w:lastColumn="0" w:oddVBand="0" w:evenVBand="0" w:oddHBand="0" w:evenHBand="0" w:firstRowFirstColumn="0" w:firstRowLastColumn="0" w:lastRowFirstColumn="0" w:lastRowLastColumn="0"/>
              <w:rPr>
                <w:szCs w:val="18"/>
              </w:rPr>
            </w:pPr>
            <w:r w:rsidRPr="005A63A9">
              <w:rPr>
                <w:szCs w:val="18"/>
              </w:rPr>
              <w:t>Evidence</w:t>
            </w:r>
          </w:p>
        </w:tc>
      </w:tr>
      <w:tr w:rsidR="00BD2DDD" w:rsidRPr="00356F51" w14:paraId="12443B4E" w14:textId="77777777" w:rsidTr="008F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67BE2840" w14:textId="77777777" w:rsidR="00BD2DDD" w:rsidRPr="005A63A9" w:rsidRDefault="00BD2DDD" w:rsidP="008F2E1A">
            <w:pPr>
              <w:spacing w:before="120" w:after="120"/>
              <w:rPr>
                <w:szCs w:val="18"/>
              </w:rPr>
            </w:pPr>
            <w:r w:rsidRPr="005A63A9">
              <w:rPr>
                <w:szCs w:val="18"/>
              </w:rPr>
              <w:t>Ia</w:t>
            </w:r>
          </w:p>
        </w:tc>
        <w:tc>
          <w:tcPr>
            <w:tcW w:w="3803" w:type="dxa"/>
            <w:tcBorders>
              <w:top w:val="none" w:sz="0" w:space="0" w:color="auto"/>
              <w:bottom w:val="none" w:sz="0" w:space="0" w:color="auto"/>
            </w:tcBorders>
            <w:hideMark/>
          </w:tcPr>
          <w:p w14:paraId="051B08AE"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rPr>
            </w:pPr>
            <w:r w:rsidRPr="005A63A9">
              <w:rPr>
                <w:szCs w:val="18"/>
              </w:rPr>
              <w:t>Evidence obtained from a single large/multicentre randomised controlled trial, a meta-analysis of randomised controlled trials or a systematic review with a low risk of bias</w:t>
            </w:r>
          </w:p>
        </w:tc>
        <w:tc>
          <w:tcPr>
            <w:tcW w:w="0" w:type="auto"/>
            <w:tcBorders>
              <w:top w:val="none" w:sz="0" w:space="0" w:color="auto"/>
              <w:bottom w:val="none" w:sz="0" w:space="0" w:color="auto"/>
            </w:tcBorders>
            <w:hideMark/>
          </w:tcPr>
          <w:p w14:paraId="79289E20"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b/>
                <w:szCs w:val="18"/>
              </w:rPr>
            </w:pPr>
            <w:r w:rsidRPr="005A63A9">
              <w:rPr>
                <w:b/>
                <w:szCs w:val="18"/>
              </w:rPr>
              <w:t>A</w:t>
            </w:r>
          </w:p>
        </w:tc>
        <w:tc>
          <w:tcPr>
            <w:tcW w:w="4275" w:type="dxa"/>
            <w:tcBorders>
              <w:top w:val="none" w:sz="0" w:space="0" w:color="auto"/>
              <w:bottom w:val="none" w:sz="0" w:space="0" w:color="auto"/>
              <w:right w:val="none" w:sz="0" w:space="0" w:color="auto"/>
            </w:tcBorders>
            <w:hideMark/>
          </w:tcPr>
          <w:p w14:paraId="26472431"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rPr>
            </w:pPr>
            <w:r w:rsidRPr="005A63A9">
              <w:rPr>
                <w:szCs w:val="18"/>
              </w:rPr>
              <w:t xml:space="preserve">At least one randomised controlled trial as part of a body of literature of overall good quality and consistency addressing the specific recommendation (evidence </w:t>
            </w:r>
            <w:r>
              <w:rPr>
                <w:szCs w:val="18"/>
              </w:rPr>
              <w:t>l</w:t>
            </w:r>
            <w:r w:rsidRPr="005A63A9">
              <w:rPr>
                <w:szCs w:val="18"/>
              </w:rPr>
              <w:t>evel I) without extrapolation</w:t>
            </w:r>
          </w:p>
        </w:tc>
      </w:tr>
      <w:tr w:rsidR="00BD2DDD" w:rsidRPr="00356F51" w14:paraId="5C0CCCBE" w14:textId="77777777" w:rsidTr="008F2E1A">
        <w:tc>
          <w:tcPr>
            <w:cnfStyle w:val="001000000000" w:firstRow="0" w:lastRow="0" w:firstColumn="1" w:lastColumn="0" w:oddVBand="0" w:evenVBand="0" w:oddHBand="0" w:evenHBand="0" w:firstRowFirstColumn="0" w:firstRowLastColumn="0" w:lastRowFirstColumn="0" w:lastRowLastColumn="0"/>
            <w:tcW w:w="0" w:type="auto"/>
          </w:tcPr>
          <w:p w14:paraId="5EA3C818" w14:textId="77777777" w:rsidR="00BD2DDD" w:rsidRPr="005A63A9" w:rsidRDefault="00BD2DDD" w:rsidP="008F2E1A">
            <w:pPr>
              <w:spacing w:before="120" w:after="120"/>
              <w:rPr>
                <w:szCs w:val="18"/>
              </w:rPr>
            </w:pPr>
            <w:r w:rsidRPr="005A63A9">
              <w:rPr>
                <w:szCs w:val="18"/>
              </w:rPr>
              <w:t>Ib</w:t>
            </w:r>
          </w:p>
        </w:tc>
        <w:tc>
          <w:tcPr>
            <w:tcW w:w="3803" w:type="dxa"/>
          </w:tcPr>
          <w:p w14:paraId="4C4039BA"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szCs w:val="18"/>
              </w:rPr>
            </w:pPr>
            <w:r w:rsidRPr="005A63A9">
              <w:rPr>
                <w:szCs w:val="18"/>
              </w:rPr>
              <w:t xml:space="preserve">Evidence obtained from meta-analyses, systematic reviews of RCTs or RCTs with a high risk of bias </w:t>
            </w:r>
          </w:p>
        </w:tc>
        <w:tc>
          <w:tcPr>
            <w:tcW w:w="0" w:type="auto"/>
            <w:vMerge w:val="restart"/>
          </w:tcPr>
          <w:p w14:paraId="56F37BD2"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b/>
                <w:szCs w:val="18"/>
              </w:rPr>
            </w:pPr>
            <w:r w:rsidRPr="005A63A9">
              <w:rPr>
                <w:b/>
                <w:szCs w:val="18"/>
              </w:rPr>
              <w:t>B</w:t>
            </w:r>
          </w:p>
        </w:tc>
        <w:tc>
          <w:tcPr>
            <w:tcW w:w="4275" w:type="dxa"/>
            <w:vMerge w:val="restart"/>
          </w:tcPr>
          <w:p w14:paraId="55E20CAB"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szCs w:val="18"/>
              </w:rPr>
            </w:pPr>
            <w:r w:rsidRPr="005A63A9">
              <w:rPr>
                <w:szCs w:val="18"/>
              </w:rPr>
              <w:t xml:space="preserve">Well-conducted clinical studies but no high-quality randomised clinical trials on the topic of recommendation (evidence </w:t>
            </w:r>
            <w:r>
              <w:rPr>
                <w:szCs w:val="18"/>
              </w:rPr>
              <w:t>l</w:t>
            </w:r>
            <w:r w:rsidRPr="005A63A9">
              <w:rPr>
                <w:szCs w:val="18"/>
              </w:rPr>
              <w:t xml:space="preserve">evels Ib, II or III); or extrapolated from </w:t>
            </w:r>
            <w:r>
              <w:rPr>
                <w:szCs w:val="18"/>
              </w:rPr>
              <w:t>l</w:t>
            </w:r>
            <w:r w:rsidRPr="005A63A9">
              <w:rPr>
                <w:szCs w:val="18"/>
              </w:rPr>
              <w:t>evel Ia evidence</w:t>
            </w:r>
          </w:p>
        </w:tc>
      </w:tr>
      <w:tr w:rsidR="00BD2DDD" w:rsidRPr="00356F51" w14:paraId="78FD602F" w14:textId="77777777" w:rsidTr="008F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72177FF2" w14:textId="77777777" w:rsidR="00BD2DDD" w:rsidRPr="005A63A9" w:rsidRDefault="00BD2DDD" w:rsidP="008F2E1A">
            <w:pPr>
              <w:spacing w:before="120" w:after="120"/>
              <w:rPr>
                <w:szCs w:val="18"/>
              </w:rPr>
            </w:pPr>
            <w:r w:rsidRPr="005A63A9">
              <w:rPr>
                <w:szCs w:val="18"/>
              </w:rPr>
              <w:t>IIa</w:t>
            </w:r>
          </w:p>
        </w:tc>
        <w:tc>
          <w:tcPr>
            <w:tcW w:w="3803" w:type="dxa"/>
            <w:tcBorders>
              <w:top w:val="none" w:sz="0" w:space="0" w:color="auto"/>
              <w:bottom w:val="none" w:sz="0" w:space="0" w:color="auto"/>
            </w:tcBorders>
            <w:hideMark/>
          </w:tcPr>
          <w:p w14:paraId="0A944879"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rPr>
            </w:pPr>
            <w:r w:rsidRPr="005A63A9">
              <w:rPr>
                <w:szCs w:val="18"/>
              </w:rPr>
              <w:t>Evidence obtained from at least one well-designed controlled study without randomisation</w:t>
            </w:r>
          </w:p>
        </w:tc>
        <w:tc>
          <w:tcPr>
            <w:tcW w:w="0" w:type="auto"/>
            <w:vMerge/>
            <w:tcBorders>
              <w:top w:val="none" w:sz="0" w:space="0" w:color="auto"/>
              <w:bottom w:val="none" w:sz="0" w:space="0" w:color="auto"/>
            </w:tcBorders>
            <w:hideMark/>
          </w:tcPr>
          <w:p w14:paraId="75AD109D"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b/>
                <w:szCs w:val="18"/>
                <w:lang w:eastAsia="en-GB"/>
              </w:rPr>
            </w:pPr>
          </w:p>
        </w:tc>
        <w:tc>
          <w:tcPr>
            <w:tcW w:w="4275" w:type="dxa"/>
            <w:vMerge/>
            <w:tcBorders>
              <w:top w:val="none" w:sz="0" w:space="0" w:color="auto"/>
              <w:bottom w:val="none" w:sz="0" w:space="0" w:color="auto"/>
              <w:right w:val="none" w:sz="0" w:space="0" w:color="auto"/>
            </w:tcBorders>
            <w:hideMark/>
          </w:tcPr>
          <w:p w14:paraId="0B633BE4"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lang w:eastAsia="en-GB"/>
              </w:rPr>
            </w:pPr>
          </w:p>
        </w:tc>
      </w:tr>
      <w:tr w:rsidR="00BD2DDD" w:rsidRPr="00356F51" w14:paraId="08E84B0C" w14:textId="77777777" w:rsidTr="008F2E1A">
        <w:tc>
          <w:tcPr>
            <w:cnfStyle w:val="001000000000" w:firstRow="0" w:lastRow="0" w:firstColumn="1" w:lastColumn="0" w:oddVBand="0" w:evenVBand="0" w:oddHBand="0" w:evenHBand="0" w:firstRowFirstColumn="0" w:firstRowLastColumn="0" w:lastRowFirstColumn="0" w:lastRowLastColumn="0"/>
            <w:tcW w:w="0" w:type="auto"/>
            <w:hideMark/>
          </w:tcPr>
          <w:p w14:paraId="2B5FDA6B" w14:textId="77777777" w:rsidR="00BD2DDD" w:rsidRPr="005A63A9" w:rsidRDefault="00BD2DDD" w:rsidP="008F2E1A">
            <w:pPr>
              <w:spacing w:before="120" w:after="120"/>
              <w:rPr>
                <w:szCs w:val="18"/>
              </w:rPr>
            </w:pPr>
            <w:r w:rsidRPr="005A63A9">
              <w:rPr>
                <w:szCs w:val="18"/>
              </w:rPr>
              <w:t>IIb</w:t>
            </w:r>
          </w:p>
        </w:tc>
        <w:tc>
          <w:tcPr>
            <w:tcW w:w="3803" w:type="dxa"/>
            <w:hideMark/>
          </w:tcPr>
          <w:p w14:paraId="174B11B7"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szCs w:val="18"/>
              </w:rPr>
            </w:pPr>
            <w:r w:rsidRPr="005A63A9">
              <w:rPr>
                <w:szCs w:val="18"/>
              </w:rPr>
              <w:t>Evidence obtained from at least one well-designed quasi-experimental study</w:t>
            </w:r>
          </w:p>
        </w:tc>
        <w:tc>
          <w:tcPr>
            <w:tcW w:w="0" w:type="auto"/>
            <w:vMerge/>
            <w:hideMark/>
          </w:tcPr>
          <w:p w14:paraId="35F360F7"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b/>
                <w:szCs w:val="18"/>
                <w:lang w:eastAsia="en-GB"/>
              </w:rPr>
            </w:pPr>
          </w:p>
        </w:tc>
        <w:tc>
          <w:tcPr>
            <w:tcW w:w="4275" w:type="dxa"/>
            <w:vMerge/>
            <w:hideMark/>
          </w:tcPr>
          <w:p w14:paraId="54DBA225"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szCs w:val="18"/>
                <w:lang w:eastAsia="en-GB"/>
              </w:rPr>
            </w:pPr>
          </w:p>
        </w:tc>
      </w:tr>
      <w:tr w:rsidR="00BD2DDD" w:rsidRPr="00356F51" w14:paraId="5C7E72F9" w14:textId="77777777" w:rsidTr="008F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5293CA86" w14:textId="77777777" w:rsidR="00BD2DDD" w:rsidRPr="005A63A9" w:rsidRDefault="00BD2DDD" w:rsidP="008F2E1A">
            <w:pPr>
              <w:spacing w:before="120" w:after="120"/>
              <w:rPr>
                <w:szCs w:val="18"/>
              </w:rPr>
            </w:pPr>
            <w:r w:rsidRPr="005A63A9">
              <w:rPr>
                <w:szCs w:val="18"/>
              </w:rPr>
              <w:t>IIc</w:t>
            </w:r>
          </w:p>
        </w:tc>
        <w:tc>
          <w:tcPr>
            <w:tcW w:w="3803" w:type="dxa"/>
            <w:tcBorders>
              <w:top w:val="none" w:sz="0" w:space="0" w:color="auto"/>
              <w:bottom w:val="none" w:sz="0" w:space="0" w:color="auto"/>
            </w:tcBorders>
          </w:tcPr>
          <w:p w14:paraId="0ACD553E"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rPr>
            </w:pPr>
            <w:r w:rsidRPr="005A63A9">
              <w:rPr>
                <w:szCs w:val="18"/>
              </w:rPr>
              <w:t>Evidence obtained from case control or cohort studies with a high risk of confounding bias</w:t>
            </w:r>
          </w:p>
        </w:tc>
        <w:tc>
          <w:tcPr>
            <w:tcW w:w="0" w:type="auto"/>
            <w:vMerge/>
            <w:tcBorders>
              <w:top w:val="none" w:sz="0" w:space="0" w:color="auto"/>
              <w:bottom w:val="none" w:sz="0" w:space="0" w:color="auto"/>
            </w:tcBorders>
          </w:tcPr>
          <w:p w14:paraId="024BE7D8"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b/>
                <w:szCs w:val="18"/>
                <w:lang w:eastAsia="en-GB"/>
              </w:rPr>
            </w:pPr>
          </w:p>
        </w:tc>
        <w:tc>
          <w:tcPr>
            <w:tcW w:w="4275" w:type="dxa"/>
            <w:vMerge/>
            <w:tcBorders>
              <w:top w:val="none" w:sz="0" w:space="0" w:color="auto"/>
              <w:bottom w:val="none" w:sz="0" w:space="0" w:color="auto"/>
              <w:right w:val="none" w:sz="0" w:space="0" w:color="auto"/>
            </w:tcBorders>
          </w:tcPr>
          <w:p w14:paraId="350A056A"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lang w:eastAsia="en-GB"/>
              </w:rPr>
            </w:pPr>
          </w:p>
        </w:tc>
      </w:tr>
      <w:tr w:rsidR="00BD2DDD" w:rsidRPr="00356F51" w14:paraId="0019537D" w14:textId="77777777" w:rsidTr="008F2E1A">
        <w:tc>
          <w:tcPr>
            <w:cnfStyle w:val="001000000000" w:firstRow="0" w:lastRow="0" w:firstColumn="1" w:lastColumn="0" w:oddVBand="0" w:evenVBand="0" w:oddHBand="0" w:evenHBand="0" w:firstRowFirstColumn="0" w:firstRowLastColumn="0" w:lastRowFirstColumn="0" w:lastRowLastColumn="0"/>
            <w:tcW w:w="0" w:type="auto"/>
            <w:hideMark/>
          </w:tcPr>
          <w:p w14:paraId="7A0DA587" w14:textId="77777777" w:rsidR="00BD2DDD" w:rsidRPr="005A63A9" w:rsidRDefault="00BD2DDD" w:rsidP="008F2E1A">
            <w:pPr>
              <w:spacing w:before="120" w:after="120"/>
              <w:rPr>
                <w:szCs w:val="18"/>
              </w:rPr>
            </w:pPr>
            <w:r w:rsidRPr="005A63A9">
              <w:rPr>
                <w:szCs w:val="18"/>
              </w:rPr>
              <w:t>III</w:t>
            </w:r>
          </w:p>
        </w:tc>
        <w:tc>
          <w:tcPr>
            <w:tcW w:w="3803" w:type="dxa"/>
            <w:hideMark/>
          </w:tcPr>
          <w:p w14:paraId="78941B88"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szCs w:val="18"/>
              </w:rPr>
            </w:pPr>
            <w:r w:rsidRPr="005A63A9">
              <w:rPr>
                <w:szCs w:val="18"/>
              </w:rPr>
              <w:t>Evidence obtained from well-designed non-experimental descriptive studies, such as comparative studies, correlation studies and case studies</w:t>
            </w:r>
          </w:p>
        </w:tc>
        <w:tc>
          <w:tcPr>
            <w:tcW w:w="0" w:type="auto"/>
            <w:vMerge/>
            <w:hideMark/>
          </w:tcPr>
          <w:p w14:paraId="64F13B65"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b/>
                <w:szCs w:val="18"/>
                <w:lang w:eastAsia="en-GB"/>
              </w:rPr>
            </w:pPr>
          </w:p>
        </w:tc>
        <w:tc>
          <w:tcPr>
            <w:tcW w:w="4275" w:type="dxa"/>
            <w:vMerge/>
            <w:hideMark/>
          </w:tcPr>
          <w:p w14:paraId="15808FCC"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szCs w:val="18"/>
                <w:lang w:eastAsia="en-GB"/>
              </w:rPr>
            </w:pPr>
          </w:p>
        </w:tc>
      </w:tr>
      <w:tr w:rsidR="00BD2DDD" w:rsidRPr="00356F51" w14:paraId="73AE9B62" w14:textId="77777777" w:rsidTr="008F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66A495BC" w14:textId="77777777" w:rsidR="00BD2DDD" w:rsidRPr="005A63A9" w:rsidRDefault="00BD2DDD" w:rsidP="008F2E1A">
            <w:pPr>
              <w:spacing w:before="120" w:after="120"/>
              <w:rPr>
                <w:szCs w:val="18"/>
              </w:rPr>
            </w:pPr>
            <w:r w:rsidRPr="005A63A9">
              <w:rPr>
                <w:szCs w:val="18"/>
              </w:rPr>
              <w:t>IV</w:t>
            </w:r>
          </w:p>
        </w:tc>
        <w:tc>
          <w:tcPr>
            <w:tcW w:w="3803" w:type="dxa"/>
            <w:tcBorders>
              <w:top w:val="none" w:sz="0" w:space="0" w:color="auto"/>
              <w:bottom w:val="none" w:sz="0" w:space="0" w:color="auto"/>
            </w:tcBorders>
            <w:hideMark/>
          </w:tcPr>
          <w:p w14:paraId="53113765"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rPr>
            </w:pPr>
            <w:r w:rsidRPr="005A63A9">
              <w:rPr>
                <w:szCs w:val="18"/>
              </w:rPr>
              <w:t>Evidence obtained from expert committee reports or opinions and/or clinical experiences of respected authorities</w:t>
            </w:r>
          </w:p>
        </w:tc>
        <w:tc>
          <w:tcPr>
            <w:tcW w:w="0" w:type="auto"/>
            <w:tcBorders>
              <w:top w:val="none" w:sz="0" w:space="0" w:color="auto"/>
              <w:bottom w:val="none" w:sz="0" w:space="0" w:color="auto"/>
            </w:tcBorders>
            <w:hideMark/>
          </w:tcPr>
          <w:p w14:paraId="56870CF5"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b/>
                <w:szCs w:val="18"/>
              </w:rPr>
            </w:pPr>
            <w:r w:rsidRPr="005A63A9">
              <w:rPr>
                <w:b/>
                <w:szCs w:val="18"/>
              </w:rPr>
              <w:t>C</w:t>
            </w:r>
          </w:p>
        </w:tc>
        <w:tc>
          <w:tcPr>
            <w:tcW w:w="4275" w:type="dxa"/>
            <w:tcBorders>
              <w:top w:val="none" w:sz="0" w:space="0" w:color="auto"/>
              <w:bottom w:val="none" w:sz="0" w:space="0" w:color="auto"/>
              <w:right w:val="none" w:sz="0" w:space="0" w:color="auto"/>
            </w:tcBorders>
            <w:hideMark/>
          </w:tcPr>
          <w:p w14:paraId="16090918"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rPr>
            </w:pPr>
            <w:r w:rsidRPr="005A63A9">
              <w:rPr>
                <w:szCs w:val="18"/>
              </w:rPr>
              <w:t xml:space="preserve">Expert committee reports or opinions and/or clinical experiences of respected authorities (evidence </w:t>
            </w:r>
            <w:r>
              <w:rPr>
                <w:szCs w:val="18"/>
              </w:rPr>
              <w:t>l</w:t>
            </w:r>
            <w:r w:rsidRPr="005A63A9">
              <w:rPr>
                <w:szCs w:val="18"/>
              </w:rPr>
              <w:t xml:space="preserve">evel IV) or extrapolated from </w:t>
            </w:r>
            <w:r>
              <w:rPr>
                <w:szCs w:val="18"/>
              </w:rPr>
              <w:t>L</w:t>
            </w:r>
            <w:r w:rsidRPr="005A63A9">
              <w:rPr>
                <w:szCs w:val="18"/>
              </w:rPr>
              <w:t>evel I or II evidence. This grading indicates that directly applicable clinical studies of good quality are absent or not readily available</w:t>
            </w:r>
          </w:p>
        </w:tc>
      </w:tr>
      <w:tr w:rsidR="00BD2DDD" w:rsidRPr="00356F51" w14:paraId="078703B8" w14:textId="77777777" w:rsidTr="008F2E1A">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C8BEB40" w14:textId="77777777" w:rsidR="00BD2DDD" w:rsidRPr="005A63A9" w:rsidRDefault="00BD2DDD" w:rsidP="008F2E1A">
            <w:pPr>
              <w:spacing w:before="120" w:after="120"/>
              <w:rPr>
                <w:szCs w:val="18"/>
              </w:rPr>
            </w:pPr>
            <w:r w:rsidRPr="005A63A9">
              <w:rPr>
                <w:szCs w:val="18"/>
              </w:rPr>
              <w:t>UG</w:t>
            </w:r>
          </w:p>
        </w:tc>
        <w:tc>
          <w:tcPr>
            <w:tcW w:w="3803" w:type="dxa"/>
            <w:hideMark/>
          </w:tcPr>
          <w:p w14:paraId="6ECCB869"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szCs w:val="18"/>
              </w:rPr>
            </w:pPr>
            <w:r w:rsidRPr="005A63A9">
              <w:rPr>
                <w:szCs w:val="18"/>
              </w:rPr>
              <w:t>Legislative or statutory requirements</w:t>
            </w:r>
          </w:p>
        </w:tc>
        <w:tc>
          <w:tcPr>
            <w:tcW w:w="0" w:type="auto"/>
          </w:tcPr>
          <w:p w14:paraId="3ECB7CE5"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b/>
                <w:szCs w:val="18"/>
              </w:rPr>
            </w:pPr>
            <w:r w:rsidRPr="005A63A9">
              <w:rPr>
                <w:b/>
                <w:szCs w:val="18"/>
              </w:rPr>
              <w:t>M</w:t>
            </w:r>
          </w:p>
        </w:tc>
        <w:tc>
          <w:tcPr>
            <w:tcW w:w="4275" w:type="dxa"/>
          </w:tcPr>
          <w:p w14:paraId="1F8334A3" w14:textId="77777777" w:rsidR="00BD2DDD" w:rsidRPr="005A63A9" w:rsidRDefault="00BD2DDD" w:rsidP="008F2E1A">
            <w:pPr>
              <w:spacing w:before="120" w:after="120"/>
              <w:cnfStyle w:val="000000000000" w:firstRow="0" w:lastRow="0" w:firstColumn="0" w:lastColumn="0" w:oddVBand="0" w:evenVBand="0" w:oddHBand="0" w:evenHBand="0" w:firstRowFirstColumn="0" w:firstRowLastColumn="0" w:lastRowFirstColumn="0" w:lastRowLastColumn="0"/>
              <w:rPr>
                <w:szCs w:val="18"/>
              </w:rPr>
            </w:pPr>
            <w:r w:rsidRPr="005A63A9">
              <w:rPr>
                <w:szCs w:val="18"/>
              </w:rPr>
              <w:t>This grading indicates that implementation of this recommendation is a statutory requirement, or is required by a regulatory body (</w:t>
            </w:r>
            <w:r>
              <w:rPr>
                <w:szCs w:val="18"/>
              </w:rPr>
              <w:t>e.g.</w:t>
            </w:r>
            <w:r w:rsidRPr="005A63A9">
              <w:rPr>
                <w:szCs w:val="18"/>
              </w:rPr>
              <w:t xml:space="preserve"> CQC, GMC)</w:t>
            </w:r>
          </w:p>
        </w:tc>
      </w:tr>
      <w:tr w:rsidR="00BD2DDD" w:rsidRPr="00356F51" w14:paraId="70E9E33B" w14:textId="77777777" w:rsidTr="008F2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tcPr>
          <w:p w14:paraId="61A66DA7" w14:textId="77777777" w:rsidR="00BD2DDD" w:rsidRPr="005A63A9" w:rsidRDefault="00BD2DDD" w:rsidP="008F2E1A">
            <w:pPr>
              <w:spacing w:before="120" w:after="120"/>
              <w:rPr>
                <w:szCs w:val="18"/>
              </w:rPr>
            </w:pPr>
          </w:p>
        </w:tc>
        <w:tc>
          <w:tcPr>
            <w:tcW w:w="3803" w:type="dxa"/>
            <w:tcBorders>
              <w:top w:val="none" w:sz="0" w:space="0" w:color="auto"/>
              <w:bottom w:val="none" w:sz="0" w:space="0" w:color="auto"/>
            </w:tcBorders>
          </w:tcPr>
          <w:p w14:paraId="48C98845"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rPr>
            </w:pPr>
          </w:p>
        </w:tc>
        <w:tc>
          <w:tcPr>
            <w:tcW w:w="0" w:type="auto"/>
            <w:tcBorders>
              <w:top w:val="none" w:sz="0" w:space="0" w:color="auto"/>
              <w:bottom w:val="none" w:sz="0" w:space="0" w:color="auto"/>
            </w:tcBorders>
          </w:tcPr>
          <w:p w14:paraId="767D886B"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b/>
                <w:szCs w:val="18"/>
              </w:rPr>
            </w:pPr>
            <w:r w:rsidRPr="005A63A9">
              <w:rPr>
                <w:b/>
                <w:szCs w:val="18"/>
              </w:rPr>
              <w:t>GPP</w:t>
            </w:r>
          </w:p>
        </w:tc>
        <w:tc>
          <w:tcPr>
            <w:tcW w:w="4275" w:type="dxa"/>
            <w:tcBorders>
              <w:top w:val="none" w:sz="0" w:space="0" w:color="auto"/>
              <w:bottom w:val="none" w:sz="0" w:space="0" w:color="auto"/>
              <w:right w:val="none" w:sz="0" w:space="0" w:color="auto"/>
            </w:tcBorders>
          </w:tcPr>
          <w:p w14:paraId="48E76A68" w14:textId="77777777" w:rsidR="00BD2DDD" w:rsidRPr="005A63A9" w:rsidRDefault="00BD2DDD" w:rsidP="008F2E1A">
            <w:pPr>
              <w:spacing w:before="120" w:after="120"/>
              <w:cnfStyle w:val="000000100000" w:firstRow="0" w:lastRow="0" w:firstColumn="0" w:lastColumn="0" w:oddVBand="0" w:evenVBand="0" w:oddHBand="1" w:evenHBand="0" w:firstRowFirstColumn="0" w:firstRowLastColumn="0" w:lastRowFirstColumn="0" w:lastRowLastColumn="0"/>
              <w:rPr>
                <w:szCs w:val="18"/>
              </w:rPr>
            </w:pPr>
            <w:r w:rsidRPr="005A63A9">
              <w:rPr>
                <w:szCs w:val="18"/>
              </w:rPr>
              <w:t xml:space="preserve">Recommended good practice based on the clinical experience of the CDG </w:t>
            </w:r>
          </w:p>
        </w:tc>
      </w:tr>
      <w:tr w:rsidR="00BD2DDD" w:rsidRPr="00356F51" w14:paraId="60B73ADB" w14:textId="77777777" w:rsidTr="008F2E1A">
        <w:tc>
          <w:tcPr>
            <w:cnfStyle w:val="001000000000" w:firstRow="0" w:lastRow="0" w:firstColumn="1" w:lastColumn="0" w:oddVBand="0" w:evenVBand="0" w:oddHBand="0" w:evenHBand="0" w:firstRowFirstColumn="0" w:firstRowLastColumn="0" w:lastRowFirstColumn="0" w:lastRowLastColumn="0"/>
            <w:tcW w:w="9640" w:type="dxa"/>
            <w:gridSpan w:val="4"/>
            <w:hideMark/>
          </w:tcPr>
          <w:p w14:paraId="57BF4B43" w14:textId="77777777" w:rsidR="00BD2DDD" w:rsidRPr="005A63A9" w:rsidRDefault="00BD2DDD" w:rsidP="008F2E1A">
            <w:pPr>
              <w:spacing w:before="120" w:after="120"/>
              <w:rPr>
                <w:szCs w:val="18"/>
              </w:rPr>
            </w:pPr>
            <w:r w:rsidRPr="005A63A9">
              <w:rPr>
                <w:szCs w:val="18"/>
              </w:rPr>
              <w:t>Adapted from Eccles M, Mason J. How to develop cost-conscious guidelines.</w:t>
            </w:r>
            <w:r>
              <w:rPr>
                <w:szCs w:val="18"/>
              </w:rPr>
              <w:t xml:space="preserve"> </w:t>
            </w:r>
            <w:r w:rsidRPr="005A63A9">
              <w:rPr>
                <w:i/>
                <w:szCs w:val="18"/>
              </w:rPr>
              <w:t>Health Technology Assessment</w:t>
            </w:r>
            <w:r>
              <w:rPr>
                <w:szCs w:val="18"/>
              </w:rPr>
              <w:t xml:space="preserve"> </w:t>
            </w:r>
            <w:r w:rsidRPr="005A63A9">
              <w:rPr>
                <w:szCs w:val="18"/>
              </w:rPr>
              <w:t xml:space="preserve">2001;5(16) and Mann T. Clinical guidelines: using clinical guidelines to improve patient care within the NHS. </w:t>
            </w:r>
            <w:r w:rsidRPr="005A63A9">
              <w:rPr>
                <w:i/>
                <w:szCs w:val="18"/>
              </w:rPr>
              <w:t>Department of Health</w:t>
            </w:r>
            <w:r w:rsidRPr="005A63A9">
              <w:rPr>
                <w:szCs w:val="18"/>
              </w:rPr>
              <w:t>, London 1996.</w:t>
            </w:r>
          </w:p>
        </w:tc>
      </w:tr>
    </w:tbl>
    <w:p w14:paraId="2F473FDF" w14:textId="7890655F" w:rsidR="00BA1A59" w:rsidRPr="00492FD7" w:rsidRDefault="00BA1A59" w:rsidP="00DC2142">
      <w:pPr>
        <w:pStyle w:val="Heading3"/>
      </w:pPr>
      <w:r w:rsidRPr="00492FD7">
        <w:lastRenderedPageBreak/>
        <w:t>Strengths and limitations of body of evidence</w:t>
      </w:r>
    </w:p>
    <w:p w14:paraId="60561802" w14:textId="27399583" w:rsidR="00FF714E" w:rsidRPr="00FA1076" w:rsidRDefault="00FF714E" w:rsidP="00FF714E">
      <w:r w:rsidRPr="00FA1076">
        <w:t xml:space="preserve">Most of the published evidence on </w:t>
      </w:r>
      <w:r>
        <w:t>neuro</w:t>
      </w:r>
      <w:r w:rsidRPr="00FA1076">
        <w:t>anaesthesia is descriptive. There are publications describing aspects of this process based on expert opinion.</w:t>
      </w:r>
    </w:p>
    <w:p w14:paraId="61E3FDBC" w14:textId="77777777" w:rsidR="00FF714E" w:rsidRPr="00FA1076" w:rsidRDefault="00FF714E" w:rsidP="005A63A9">
      <w:pPr>
        <w:spacing w:after="80"/>
      </w:pPr>
      <w:r w:rsidRPr="00FA1076">
        <w:t>The limitations of the evidence are:</w:t>
      </w:r>
    </w:p>
    <w:p w14:paraId="0289FC8D" w14:textId="6FAD42A9" w:rsidR="00FF714E" w:rsidRPr="00FA1076" w:rsidRDefault="005A63A9" w:rsidP="000C7102">
      <w:pPr>
        <w:pStyle w:val="bullets"/>
      </w:pPr>
      <w:r>
        <w:t>t</w:t>
      </w:r>
      <w:r w:rsidR="00FF714E" w:rsidRPr="00FA1076">
        <w:t>he ‘unmeasurables’ (attitudes, behaviour, motivation, leadership, teamwork)</w:t>
      </w:r>
    </w:p>
    <w:p w14:paraId="02AA6C3E" w14:textId="1433F5C8" w:rsidR="00FF714E" w:rsidRPr="00FA1076" w:rsidRDefault="005A63A9" w:rsidP="000C7102">
      <w:pPr>
        <w:pStyle w:val="bullets"/>
        <w:rPr>
          <w:bCs/>
        </w:rPr>
      </w:pPr>
      <w:r>
        <w:rPr>
          <w:bCs/>
        </w:rPr>
        <w:t>f</w:t>
      </w:r>
      <w:r w:rsidR="00F439C7" w:rsidRPr="00FA1076">
        <w:rPr>
          <w:bCs/>
        </w:rPr>
        <w:t xml:space="preserve">ew </w:t>
      </w:r>
      <w:bookmarkStart w:id="11" w:name="_Hlk507766573"/>
      <w:r w:rsidR="00F439C7" w:rsidRPr="005A2923">
        <w:t>randomised controlled trials</w:t>
      </w:r>
      <w:bookmarkEnd w:id="11"/>
      <w:r w:rsidR="00FF714E" w:rsidRPr="00FA1076">
        <w:rPr>
          <w:bCs/>
        </w:rPr>
        <w:t>; studies frequently use mixed populations of emergency and elective patients, or all emergency patients grouped together despite different underlying diagnoses</w:t>
      </w:r>
    </w:p>
    <w:p w14:paraId="5F0730C9" w14:textId="62269DDA" w:rsidR="00FF714E" w:rsidRPr="00FA1076" w:rsidRDefault="005A63A9" w:rsidP="000C7102">
      <w:pPr>
        <w:pStyle w:val="bullets"/>
        <w:rPr>
          <w:bCs/>
        </w:rPr>
      </w:pPr>
      <w:r>
        <w:rPr>
          <w:bCs/>
        </w:rPr>
        <w:t>p</w:t>
      </w:r>
      <w:r w:rsidR="00FF714E" w:rsidRPr="00FA1076">
        <w:rPr>
          <w:bCs/>
        </w:rPr>
        <w:t>apers often examine a single intervention within complex system or bundle</w:t>
      </w:r>
    </w:p>
    <w:p w14:paraId="31E76A94" w14:textId="086F2D0D" w:rsidR="00FF714E" w:rsidRPr="00FA1076" w:rsidRDefault="005A63A9" w:rsidP="000C7102">
      <w:pPr>
        <w:pStyle w:val="bullets"/>
        <w:rPr>
          <w:bCs/>
        </w:rPr>
      </w:pPr>
      <w:r>
        <w:rPr>
          <w:bCs/>
        </w:rPr>
        <w:t>p</w:t>
      </w:r>
      <w:r w:rsidR="00F439C7" w:rsidRPr="00FA1076">
        <w:rPr>
          <w:bCs/>
        </w:rPr>
        <w:t xml:space="preserve">apers </w:t>
      </w:r>
      <w:r w:rsidR="00FF714E" w:rsidRPr="00FA1076">
        <w:rPr>
          <w:bCs/>
        </w:rPr>
        <w:t>are often examining small numbers and/or patients from a single centre</w:t>
      </w:r>
    </w:p>
    <w:p w14:paraId="15F0809E" w14:textId="457D06C2" w:rsidR="00FF714E" w:rsidRPr="00FA1076" w:rsidRDefault="005A63A9" w:rsidP="000C7102">
      <w:pPr>
        <w:pStyle w:val="bullets"/>
        <w:rPr>
          <w:bCs/>
        </w:rPr>
      </w:pPr>
      <w:r>
        <w:rPr>
          <w:bCs/>
        </w:rPr>
        <w:t>p</w:t>
      </w:r>
      <w:r w:rsidR="00F439C7" w:rsidRPr="00FA1076">
        <w:rPr>
          <w:bCs/>
        </w:rPr>
        <w:t xml:space="preserve">oor </w:t>
      </w:r>
      <w:r w:rsidR="00FF714E" w:rsidRPr="00FA1076">
        <w:rPr>
          <w:bCs/>
        </w:rPr>
        <w:t>use of outcome measures, frequently concentrating on easily measured short term outcomes which are not patient</w:t>
      </w:r>
      <w:r w:rsidR="00B46C2A">
        <w:rPr>
          <w:bCs/>
        </w:rPr>
        <w:t xml:space="preserve"> </w:t>
      </w:r>
      <w:r w:rsidR="00FF714E" w:rsidRPr="00FA1076">
        <w:rPr>
          <w:bCs/>
        </w:rPr>
        <w:t>centred</w:t>
      </w:r>
    </w:p>
    <w:p w14:paraId="4682E080" w14:textId="08552F2B" w:rsidR="00FF714E" w:rsidRPr="00FA1076" w:rsidRDefault="005A63A9" w:rsidP="000C7102">
      <w:pPr>
        <w:pStyle w:val="bullets"/>
        <w:rPr>
          <w:bCs/>
        </w:rPr>
      </w:pPr>
      <w:r>
        <w:rPr>
          <w:bCs/>
        </w:rPr>
        <w:t>g</w:t>
      </w:r>
      <w:r w:rsidR="00F439C7" w:rsidRPr="00FA1076">
        <w:rPr>
          <w:bCs/>
        </w:rPr>
        <w:t>enerally</w:t>
      </w:r>
      <w:r w:rsidR="00B46C2A">
        <w:rPr>
          <w:bCs/>
        </w:rPr>
        <w:t>,</w:t>
      </w:r>
      <w:r w:rsidR="00F439C7" w:rsidRPr="00FA1076">
        <w:rPr>
          <w:bCs/>
        </w:rPr>
        <w:t xml:space="preserve"> </w:t>
      </w:r>
      <w:r w:rsidR="00FF714E" w:rsidRPr="00FA1076">
        <w:rPr>
          <w:bCs/>
        </w:rPr>
        <w:t>a paucity of long-term follow up</w:t>
      </w:r>
    </w:p>
    <w:p w14:paraId="25EB63B2" w14:textId="1FFB606A" w:rsidR="00FF714E" w:rsidRPr="00FA1076" w:rsidRDefault="005A63A9" w:rsidP="000C7102">
      <w:pPr>
        <w:pStyle w:val="bullets"/>
        <w:rPr>
          <w:bCs/>
        </w:rPr>
      </w:pPr>
      <w:r>
        <w:rPr>
          <w:bCs/>
        </w:rPr>
        <w:t>t</w:t>
      </w:r>
      <w:r w:rsidR="00F439C7" w:rsidRPr="00FA1076">
        <w:rPr>
          <w:bCs/>
        </w:rPr>
        <w:t xml:space="preserve">here </w:t>
      </w:r>
      <w:r w:rsidR="00FF714E" w:rsidRPr="00FA1076">
        <w:rPr>
          <w:bCs/>
        </w:rPr>
        <w:t>is no standard definition used of ‘high risk’</w:t>
      </w:r>
    </w:p>
    <w:p w14:paraId="525C6B4B" w14:textId="5BFDCFD2" w:rsidR="00FF714E" w:rsidRPr="00FA1076" w:rsidRDefault="005A63A9" w:rsidP="000C7102">
      <w:pPr>
        <w:pStyle w:val="bullets"/>
        <w:rPr>
          <w:bCs/>
        </w:rPr>
      </w:pPr>
      <w:r>
        <w:rPr>
          <w:bCs/>
        </w:rPr>
        <w:t>u</w:t>
      </w:r>
      <w:r w:rsidR="00F439C7" w:rsidRPr="00FA1076">
        <w:rPr>
          <w:bCs/>
        </w:rPr>
        <w:t xml:space="preserve">se </w:t>
      </w:r>
      <w:r w:rsidR="00FF714E" w:rsidRPr="00FA1076">
        <w:rPr>
          <w:bCs/>
        </w:rPr>
        <w:t>of different risk</w:t>
      </w:r>
      <w:r w:rsidR="00B46C2A">
        <w:rPr>
          <w:bCs/>
        </w:rPr>
        <w:t>-</w:t>
      </w:r>
      <w:r w:rsidR="00FF714E" w:rsidRPr="00FA1076">
        <w:rPr>
          <w:bCs/>
        </w:rPr>
        <w:t>scoring systems</w:t>
      </w:r>
    </w:p>
    <w:p w14:paraId="3E8D0EF6" w14:textId="1F2DA190" w:rsidR="00FF714E" w:rsidRPr="00FA1076" w:rsidRDefault="005A63A9" w:rsidP="000C7102">
      <w:pPr>
        <w:pStyle w:val="bullets"/>
      </w:pPr>
      <w:r>
        <w:t>d</w:t>
      </w:r>
      <w:r w:rsidR="00F439C7" w:rsidRPr="00FA1076">
        <w:t xml:space="preserve">ecrease </w:t>
      </w:r>
      <w:r w:rsidR="00FF714E" w:rsidRPr="00FA1076">
        <w:t xml:space="preserve">in outcome over time and geography when ‘good papers’ are used in quality </w:t>
      </w:r>
      <w:r w:rsidR="00AE0CF6">
        <w:t>i</w:t>
      </w:r>
      <w:r w:rsidR="00FF714E" w:rsidRPr="00FA1076">
        <w:t>mprovement programmes</w:t>
      </w:r>
    </w:p>
    <w:p w14:paraId="4483D0BA" w14:textId="5353D6D5" w:rsidR="00FF714E" w:rsidRPr="00FA1076" w:rsidRDefault="005A63A9" w:rsidP="000C7102">
      <w:pPr>
        <w:pStyle w:val="bullets"/>
        <w:rPr>
          <w:bCs/>
        </w:rPr>
      </w:pPr>
      <w:r>
        <w:rPr>
          <w:bCs/>
        </w:rPr>
        <w:t>a</w:t>
      </w:r>
      <w:r w:rsidR="00F439C7" w:rsidRPr="00FA1076">
        <w:rPr>
          <w:bCs/>
        </w:rPr>
        <w:t xml:space="preserve">pplication </w:t>
      </w:r>
      <w:r w:rsidR="00FF714E" w:rsidRPr="00FA1076">
        <w:rPr>
          <w:bCs/>
        </w:rPr>
        <w:t>of international studies in systems with either more or less resources than the UK into NHS practice</w:t>
      </w:r>
    </w:p>
    <w:p w14:paraId="0FEB55DA" w14:textId="662A2292" w:rsidR="00FF714E" w:rsidRPr="00FA1076" w:rsidRDefault="005A63A9" w:rsidP="000C7102">
      <w:pPr>
        <w:pStyle w:val="bullets"/>
        <w:rPr>
          <w:bCs/>
        </w:rPr>
      </w:pPr>
      <w:r>
        <w:rPr>
          <w:bCs/>
        </w:rPr>
        <w:t>o</w:t>
      </w:r>
      <w:r w:rsidR="00F439C7" w:rsidRPr="00FA1076">
        <w:rPr>
          <w:bCs/>
        </w:rPr>
        <w:t xml:space="preserve">lder </w:t>
      </w:r>
      <w:r w:rsidR="00FF714E" w:rsidRPr="00FA1076">
        <w:rPr>
          <w:bCs/>
        </w:rPr>
        <w:t>studies may no longer be applicable within the NHS</w:t>
      </w:r>
    </w:p>
    <w:p w14:paraId="52493D59" w14:textId="28E9B0A1" w:rsidR="00FF714E" w:rsidRPr="00FA1076" w:rsidRDefault="005A63A9" w:rsidP="000C7102">
      <w:pPr>
        <w:pStyle w:val="bullets"/>
        <w:rPr>
          <w:bCs/>
        </w:rPr>
      </w:pPr>
      <w:r>
        <w:rPr>
          <w:bCs/>
        </w:rPr>
        <w:t>v</w:t>
      </w:r>
      <w:r w:rsidR="00F439C7" w:rsidRPr="00FA1076">
        <w:rPr>
          <w:bCs/>
        </w:rPr>
        <w:t xml:space="preserve">ery </w:t>
      </w:r>
      <w:r w:rsidR="00FF714E" w:rsidRPr="00FA1076">
        <w:rPr>
          <w:bCs/>
        </w:rPr>
        <w:t>few studies included any analysis of financial implications</w:t>
      </w:r>
    </w:p>
    <w:p w14:paraId="5EC35F2A" w14:textId="25478B71" w:rsidR="00FF714E" w:rsidRPr="00FA1076" w:rsidRDefault="005A63A9" w:rsidP="000C7102">
      <w:pPr>
        <w:pStyle w:val="bullets"/>
        <w:spacing w:after="200"/>
        <w:rPr>
          <w:b/>
        </w:rPr>
      </w:pPr>
      <w:r>
        <w:t>e</w:t>
      </w:r>
      <w:r w:rsidR="00F439C7" w:rsidRPr="00FA1076">
        <w:t xml:space="preserve">vidence </w:t>
      </w:r>
      <w:r w:rsidR="00FF714E" w:rsidRPr="00FA1076">
        <w:t>was mainly based on literature graded III and IV</w:t>
      </w:r>
      <w:r w:rsidR="00B46C2A">
        <w:t>.</w:t>
      </w:r>
    </w:p>
    <w:p w14:paraId="0E37D988" w14:textId="64E33E89" w:rsidR="00BA1A59" w:rsidRPr="00492FD7" w:rsidRDefault="00BA1A59" w:rsidP="00DC2142">
      <w:pPr>
        <w:pStyle w:val="Heading3"/>
      </w:pPr>
      <w:r w:rsidRPr="00492FD7">
        <w:t xml:space="preserve">Methods </w:t>
      </w:r>
      <w:r w:rsidR="000D78FC" w:rsidRPr="00492FD7">
        <w:t>used to arrive at recommendations</w:t>
      </w:r>
    </w:p>
    <w:p w14:paraId="1F7CDDC9" w14:textId="77777777" w:rsidR="0083442E" w:rsidRDefault="00BA1A59" w:rsidP="002D2A98">
      <w:r w:rsidRPr="00356F51">
        <w:t xml:space="preserve">Recommendations were initially drafted based on the evidence by the authors for the chapter. These were discussed with the </w:t>
      </w:r>
      <w:r w:rsidR="00E96ACC">
        <w:t>CDG</w:t>
      </w:r>
      <w:r w:rsidRPr="00356F51">
        <w:t xml:space="preserve">, and comments were received both on the content and the practicality of the recommendations. The level of evidence that was the basis for each recommendation was graded according to a grading system, and the recommendation was then graded taking into account the strength of the evidence and the clinical importance using a recommendations criteria form (see </w:t>
      </w:r>
      <w:hyperlink r:id="rId21" w:history="1">
        <w:r w:rsidR="00602862" w:rsidRPr="000C7102">
          <w:rPr>
            <w:rStyle w:val="Hyperlink"/>
            <w:sz w:val="20"/>
          </w:rPr>
          <w:t>GPAS Chapter Development Process Document</w:t>
        </w:r>
      </w:hyperlink>
      <w:r w:rsidR="00602862">
        <w:t xml:space="preserve">). </w:t>
      </w:r>
    </w:p>
    <w:p w14:paraId="63B48803" w14:textId="1D3BF042" w:rsidR="00A61E7E" w:rsidRDefault="00BA1A59" w:rsidP="002D2A98">
      <w:r w:rsidRPr="00356F51">
        <w:t>Recommendations were worded using the following system of categorisation:</w:t>
      </w:r>
    </w:p>
    <w:p w14:paraId="77CC7CC3" w14:textId="77777777" w:rsidR="00A61E7E" w:rsidRDefault="00A61E7E">
      <w:pPr>
        <w:spacing w:line="276" w:lineRule="auto"/>
      </w:pPr>
      <w:r>
        <w:br w:type="page"/>
      </w:r>
    </w:p>
    <w:tbl>
      <w:tblPr>
        <w:tblStyle w:val="LightList-Accent1"/>
        <w:tblW w:w="9252" w:type="dxa"/>
        <w:tblBorders>
          <w:top w:val="single" w:sz="4" w:space="0" w:color="291F51" w:themeColor="accent1"/>
          <w:left w:val="single" w:sz="4" w:space="0" w:color="291F51" w:themeColor="accent1"/>
          <w:bottom w:val="single" w:sz="4" w:space="0" w:color="291F51" w:themeColor="accent1"/>
          <w:right w:val="single" w:sz="4" w:space="0" w:color="291F51" w:themeColor="accent1"/>
          <w:insideH w:val="single" w:sz="4" w:space="0" w:color="291F51" w:themeColor="accent1"/>
          <w:insideV w:val="single" w:sz="4" w:space="0" w:color="291F51" w:themeColor="accent1"/>
        </w:tblBorders>
        <w:tblLook w:val="04A0" w:firstRow="1" w:lastRow="0" w:firstColumn="1" w:lastColumn="0" w:noHBand="0" w:noVBand="1"/>
      </w:tblPr>
      <w:tblGrid>
        <w:gridCol w:w="1470"/>
        <w:gridCol w:w="3813"/>
        <w:gridCol w:w="3969"/>
      </w:tblGrid>
      <w:tr w:rsidR="00BA1A59" w:rsidRPr="00356F51" w14:paraId="26B3D13A" w14:textId="77777777" w:rsidTr="00F32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91F51" w:themeFill="accent1"/>
            <w:hideMark/>
          </w:tcPr>
          <w:p w14:paraId="2C9804FF" w14:textId="77777777" w:rsidR="00BA1A59" w:rsidRPr="00356F51" w:rsidRDefault="00BA1A59" w:rsidP="00467850">
            <w:pPr>
              <w:spacing w:before="120" w:after="120"/>
            </w:pPr>
            <w:r w:rsidRPr="00356F51">
              <w:lastRenderedPageBreak/>
              <w:t>Strength</w:t>
            </w:r>
          </w:p>
        </w:tc>
        <w:tc>
          <w:tcPr>
            <w:tcW w:w="3813" w:type="dxa"/>
            <w:shd w:val="clear" w:color="auto" w:fill="291F51" w:themeFill="accent1"/>
            <w:hideMark/>
          </w:tcPr>
          <w:p w14:paraId="5F047FFA" w14:textId="77777777" w:rsidR="00BA1A59" w:rsidRPr="00356F51" w:rsidRDefault="00BA1A59" w:rsidP="00467850">
            <w:pPr>
              <w:spacing w:before="120" w:after="120"/>
              <w:cnfStyle w:val="100000000000" w:firstRow="1" w:lastRow="0" w:firstColumn="0" w:lastColumn="0" w:oddVBand="0" w:evenVBand="0" w:oddHBand="0" w:evenHBand="0" w:firstRowFirstColumn="0" w:firstRowLastColumn="0" w:lastRowFirstColumn="0" w:lastRowLastColumn="0"/>
            </w:pPr>
            <w:r w:rsidRPr="00356F51">
              <w:t>Type of evidence</w:t>
            </w:r>
          </w:p>
        </w:tc>
        <w:tc>
          <w:tcPr>
            <w:tcW w:w="3969" w:type="dxa"/>
            <w:shd w:val="clear" w:color="auto" w:fill="291F51" w:themeFill="accent1"/>
            <w:hideMark/>
          </w:tcPr>
          <w:p w14:paraId="4AAE95C0" w14:textId="77777777" w:rsidR="00BA1A59" w:rsidRPr="00356F51" w:rsidRDefault="00BA1A59" w:rsidP="00467850">
            <w:pPr>
              <w:spacing w:before="120" w:after="120"/>
              <w:cnfStyle w:val="100000000000" w:firstRow="1" w:lastRow="0" w:firstColumn="0" w:lastColumn="0" w:oddVBand="0" w:evenVBand="0" w:oddHBand="0" w:evenHBand="0" w:firstRowFirstColumn="0" w:firstRowLastColumn="0" w:lastRowFirstColumn="0" w:lastRowLastColumn="0"/>
            </w:pPr>
            <w:r w:rsidRPr="00356F51">
              <w:t>Wording</w:t>
            </w:r>
          </w:p>
        </w:tc>
      </w:tr>
      <w:tr w:rsidR="00BA1A59" w:rsidRPr="00356F51" w14:paraId="516C0EE4" w14:textId="77777777" w:rsidTr="00F327A6">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5B6E55D1" w14:textId="77777777" w:rsidR="00BA1A59" w:rsidRPr="00356F51" w:rsidRDefault="00BA1A59" w:rsidP="00467850">
            <w:pPr>
              <w:spacing w:before="120" w:after="120"/>
            </w:pPr>
            <w:r w:rsidRPr="00356F51">
              <w:t>Mandatory</w:t>
            </w:r>
          </w:p>
        </w:tc>
        <w:tc>
          <w:tcPr>
            <w:tcW w:w="3813" w:type="dxa"/>
            <w:tcBorders>
              <w:top w:val="none" w:sz="0" w:space="0" w:color="auto"/>
              <w:bottom w:val="none" w:sz="0" w:space="0" w:color="auto"/>
            </w:tcBorders>
          </w:tcPr>
          <w:p w14:paraId="32DF1229" w14:textId="77777777" w:rsidR="00BA1A59" w:rsidRPr="00356F51" w:rsidRDefault="00BA1A59" w:rsidP="00467850">
            <w:pPr>
              <w:spacing w:before="120" w:after="120"/>
              <w:cnfStyle w:val="000000100000" w:firstRow="0" w:lastRow="0" w:firstColumn="0" w:lastColumn="0" w:oddVBand="0" w:evenVBand="0" w:oddHBand="1" w:evenHBand="0" w:firstRowFirstColumn="0" w:firstRowLastColumn="0" w:lastRowFirstColumn="0" w:lastRowLastColumn="0"/>
            </w:pPr>
            <w:r w:rsidRPr="00356F51">
              <w:t>The evidence supporting the recommendation includes at least one with an ‘M’ grading</w:t>
            </w:r>
          </w:p>
        </w:tc>
        <w:tc>
          <w:tcPr>
            <w:tcW w:w="3969" w:type="dxa"/>
            <w:tcBorders>
              <w:top w:val="none" w:sz="0" w:space="0" w:color="auto"/>
              <w:bottom w:val="none" w:sz="0" w:space="0" w:color="auto"/>
              <w:right w:val="none" w:sz="0" w:space="0" w:color="auto"/>
            </w:tcBorders>
          </w:tcPr>
          <w:p w14:paraId="32C88391" w14:textId="1E75DCEF" w:rsidR="00BA1A59" w:rsidRPr="00356F51" w:rsidRDefault="00BA1A59" w:rsidP="00467850">
            <w:pPr>
              <w:spacing w:before="120" w:after="120"/>
              <w:cnfStyle w:val="000000100000" w:firstRow="0" w:lastRow="0" w:firstColumn="0" w:lastColumn="0" w:oddVBand="0" w:evenVBand="0" w:oddHBand="1" w:evenHBand="0" w:firstRowFirstColumn="0" w:firstRowLastColumn="0" w:lastRowFirstColumn="0" w:lastRowLastColumn="0"/>
            </w:pPr>
            <w:r w:rsidRPr="00356F51">
              <w:t>Wording should reflect the mandatory nature of the recommendation</w:t>
            </w:r>
            <w:r w:rsidR="00015B42">
              <w:t>,</w:t>
            </w:r>
            <w:r w:rsidRPr="00356F51">
              <w:t xml:space="preserve"> ie ‘must’</w:t>
            </w:r>
          </w:p>
        </w:tc>
      </w:tr>
      <w:tr w:rsidR="00BA1A59" w:rsidRPr="00356F51" w14:paraId="4DA49282" w14:textId="77777777" w:rsidTr="00F327A6">
        <w:tc>
          <w:tcPr>
            <w:cnfStyle w:val="001000000000" w:firstRow="0" w:lastRow="0" w:firstColumn="1" w:lastColumn="0" w:oddVBand="0" w:evenVBand="0" w:oddHBand="0" w:evenHBand="0" w:firstRowFirstColumn="0" w:firstRowLastColumn="0" w:lastRowFirstColumn="0" w:lastRowLastColumn="0"/>
            <w:tcW w:w="0" w:type="auto"/>
            <w:hideMark/>
          </w:tcPr>
          <w:p w14:paraId="39842A07" w14:textId="77777777" w:rsidR="00BA1A59" w:rsidRPr="00356F51" w:rsidRDefault="00BA1A59" w:rsidP="00467850">
            <w:pPr>
              <w:spacing w:before="120" w:after="120"/>
            </w:pPr>
            <w:r w:rsidRPr="00356F51">
              <w:t>Strong</w:t>
            </w:r>
          </w:p>
        </w:tc>
        <w:tc>
          <w:tcPr>
            <w:tcW w:w="3813" w:type="dxa"/>
            <w:hideMark/>
          </w:tcPr>
          <w:p w14:paraId="1E4D2949" w14:textId="77777777" w:rsidR="00BA1A59" w:rsidRPr="00356F51" w:rsidRDefault="00BA1A59" w:rsidP="00467850">
            <w:pPr>
              <w:spacing w:before="120" w:after="120"/>
              <w:cnfStyle w:val="000000000000" w:firstRow="0" w:lastRow="0" w:firstColumn="0" w:lastColumn="0" w:oddVBand="0" w:evenVBand="0" w:oddHBand="0" w:evenHBand="0" w:firstRowFirstColumn="0" w:firstRowLastColumn="0" w:lastRowFirstColumn="0" w:lastRowLastColumn="0"/>
            </w:pPr>
            <w:r w:rsidRPr="00356F51">
              <w:t>Confidence that for the vast majority of people, the action will do more good than harm (or more harm than good)</w:t>
            </w:r>
          </w:p>
        </w:tc>
        <w:tc>
          <w:tcPr>
            <w:tcW w:w="3969" w:type="dxa"/>
            <w:hideMark/>
          </w:tcPr>
          <w:p w14:paraId="113587BA" w14:textId="77777777" w:rsidR="00BA1A59" w:rsidRPr="00356F51" w:rsidRDefault="00BA1A59" w:rsidP="00467850">
            <w:pPr>
              <w:spacing w:before="120" w:after="120"/>
              <w:cnfStyle w:val="000000000000" w:firstRow="0" w:lastRow="0" w:firstColumn="0" w:lastColumn="0" w:oddVBand="0" w:evenVBand="0" w:oddHBand="0" w:evenHBand="0" w:firstRowFirstColumn="0" w:firstRowLastColumn="0" w:lastRowFirstColumn="0" w:lastRowLastColumn="0"/>
            </w:pPr>
            <w:r w:rsidRPr="00356F51">
              <w:t>Wording should be clearly directive ‘should’ or ‘should not’</w:t>
            </w:r>
          </w:p>
        </w:tc>
      </w:tr>
      <w:tr w:rsidR="00BA1A59" w:rsidRPr="00356F51" w14:paraId="2A0E9BAC" w14:textId="77777777" w:rsidTr="00F3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hideMark/>
          </w:tcPr>
          <w:p w14:paraId="3D9557F3" w14:textId="77777777" w:rsidR="00BA1A59" w:rsidRPr="00356F51" w:rsidRDefault="00BA1A59" w:rsidP="00467850">
            <w:pPr>
              <w:spacing w:before="120" w:after="120"/>
            </w:pPr>
            <w:r w:rsidRPr="00356F51">
              <w:t>Weak</w:t>
            </w:r>
          </w:p>
        </w:tc>
        <w:tc>
          <w:tcPr>
            <w:tcW w:w="3813" w:type="dxa"/>
            <w:tcBorders>
              <w:top w:val="none" w:sz="0" w:space="0" w:color="auto"/>
              <w:bottom w:val="none" w:sz="0" w:space="0" w:color="auto"/>
            </w:tcBorders>
            <w:hideMark/>
          </w:tcPr>
          <w:p w14:paraId="255BCD23" w14:textId="77777777" w:rsidR="00BA1A59" w:rsidRPr="00356F51" w:rsidRDefault="00BA1A59" w:rsidP="00467850">
            <w:pPr>
              <w:spacing w:before="120" w:after="120"/>
              <w:cnfStyle w:val="000000100000" w:firstRow="0" w:lastRow="0" w:firstColumn="0" w:lastColumn="0" w:oddVBand="0" w:evenVBand="0" w:oddHBand="1" w:evenHBand="0" w:firstRowFirstColumn="0" w:firstRowLastColumn="0" w:lastRowFirstColumn="0" w:lastRowLastColumn="0"/>
            </w:pPr>
            <w:r w:rsidRPr="00356F51">
              <w:t>The action will do more good than harm for most patients, but may include caveats on the quality or size of evidence base or patient preferences</w:t>
            </w:r>
          </w:p>
        </w:tc>
        <w:tc>
          <w:tcPr>
            <w:tcW w:w="3969" w:type="dxa"/>
            <w:tcBorders>
              <w:top w:val="none" w:sz="0" w:space="0" w:color="auto"/>
              <w:bottom w:val="none" w:sz="0" w:space="0" w:color="auto"/>
              <w:right w:val="none" w:sz="0" w:space="0" w:color="auto"/>
            </w:tcBorders>
            <w:hideMark/>
          </w:tcPr>
          <w:p w14:paraId="4DD9729C" w14:textId="77777777" w:rsidR="00BA1A59" w:rsidRPr="00356F51" w:rsidRDefault="00BA1A59" w:rsidP="00467850">
            <w:pPr>
              <w:spacing w:before="120" w:after="120"/>
              <w:cnfStyle w:val="000000100000" w:firstRow="0" w:lastRow="0" w:firstColumn="0" w:lastColumn="0" w:oddVBand="0" w:evenVBand="0" w:oddHBand="1" w:evenHBand="0" w:firstRowFirstColumn="0" w:firstRowLastColumn="0" w:lastRowFirstColumn="0" w:lastRowLastColumn="0"/>
            </w:pPr>
            <w:r w:rsidRPr="00356F51">
              <w:t>Wording should include ‘should be considered’</w:t>
            </w:r>
          </w:p>
        </w:tc>
      </w:tr>
      <w:tr w:rsidR="00BA1A59" w:rsidRPr="00356F51" w14:paraId="66360D1B" w14:textId="77777777" w:rsidTr="00F327A6">
        <w:tc>
          <w:tcPr>
            <w:cnfStyle w:val="001000000000" w:firstRow="0" w:lastRow="0" w:firstColumn="1" w:lastColumn="0" w:oddVBand="0" w:evenVBand="0" w:oddHBand="0" w:evenHBand="0" w:firstRowFirstColumn="0" w:firstRowLastColumn="0" w:lastRowFirstColumn="0" w:lastRowLastColumn="0"/>
            <w:tcW w:w="0" w:type="auto"/>
          </w:tcPr>
          <w:p w14:paraId="0D76D687" w14:textId="77777777" w:rsidR="00BA1A59" w:rsidRPr="00356F51" w:rsidRDefault="00BA1A59" w:rsidP="00467850">
            <w:pPr>
              <w:spacing w:before="120" w:after="120"/>
            </w:pPr>
            <w:r w:rsidRPr="00356F51">
              <w:t>Aspirational</w:t>
            </w:r>
          </w:p>
        </w:tc>
        <w:tc>
          <w:tcPr>
            <w:tcW w:w="3813" w:type="dxa"/>
          </w:tcPr>
          <w:p w14:paraId="23109FA2" w14:textId="77777777" w:rsidR="00BA1A59" w:rsidRPr="00356F51" w:rsidRDefault="00BA1A59" w:rsidP="00467850">
            <w:pPr>
              <w:spacing w:before="120" w:after="120"/>
              <w:cnfStyle w:val="000000000000" w:firstRow="0" w:lastRow="0" w:firstColumn="0" w:lastColumn="0" w:oddVBand="0" w:evenVBand="0" w:oddHBand="0" w:evenHBand="0" w:firstRowFirstColumn="0" w:firstRowLastColumn="0" w:lastRowFirstColumn="0" w:lastRowLastColumn="0"/>
            </w:pPr>
            <w:r w:rsidRPr="00356F51">
              <w:t>While there is some evidence that implementation of the recommendation could improve patient care, either the evidence or the improvement is not proven or substantial</w:t>
            </w:r>
          </w:p>
        </w:tc>
        <w:tc>
          <w:tcPr>
            <w:tcW w:w="3969" w:type="dxa"/>
          </w:tcPr>
          <w:p w14:paraId="4FC8D23B" w14:textId="77777777" w:rsidR="00BA1A59" w:rsidRPr="00356F51" w:rsidRDefault="00BA1A59" w:rsidP="00467850">
            <w:pPr>
              <w:spacing w:before="120" w:after="120"/>
              <w:cnfStyle w:val="000000000000" w:firstRow="0" w:lastRow="0" w:firstColumn="0" w:lastColumn="0" w:oddVBand="0" w:evenVBand="0" w:oddHBand="0" w:evenHBand="0" w:firstRowFirstColumn="0" w:firstRowLastColumn="0" w:lastRowFirstColumn="0" w:lastRowLastColumn="0"/>
            </w:pPr>
            <w:r w:rsidRPr="00356F51">
              <w:t>Wording should include ‘could’</w:t>
            </w:r>
          </w:p>
        </w:tc>
      </w:tr>
      <w:tr w:rsidR="00BA1A59" w:rsidRPr="00356F51" w14:paraId="0FC7D6AC" w14:textId="77777777" w:rsidTr="00F3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14:paraId="42A19F52" w14:textId="77777777" w:rsidR="00BA1A59" w:rsidRPr="00356F51" w:rsidRDefault="00BA1A59" w:rsidP="00467850">
            <w:pPr>
              <w:spacing w:before="120" w:after="120"/>
            </w:pPr>
            <w:r w:rsidRPr="00356F51">
              <w:t>Equipoise</w:t>
            </w:r>
          </w:p>
        </w:tc>
        <w:tc>
          <w:tcPr>
            <w:tcW w:w="3813" w:type="dxa"/>
            <w:tcBorders>
              <w:top w:val="none" w:sz="0" w:space="0" w:color="auto"/>
              <w:bottom w:val="none" w:sz="0" w:space="0" w:color="auto"/>
            </w:tcBorders>
          </w:tcPr>
          <w:p w14:paraId="4D69F6D0" w14:textId="77777777" w:rsidR="00BA1A59" w:rsidRPr="00356F51" w:rsidRDefault="00BA1A59" w:rsidP="00467850">
            <w:pPr>
              <w:spacing w:before="120" w:after="120"/>
              <w:cnfStyle w:val="000000100000" w:firstRow="0" w:lastRow="0" w:firstColumn="0" w:lastColumn="0" w:oddVBand="0" w:evenVBand="0" w:oddHBand="1" w:evenHBand="0" w:firstRowFirstColumn="0" w:firstRowLastColumn="0" w:lastRowFirstColumn="0" w:lastRowLastColumn="0"/>
            </w:pPr>
            <w:r w:rsidRPr="00356F51">
              <w:t>There is no current evidence on this recommendation’s effect on patient care</w:t>
            </w:r>
          </w:p>
        </w:tc>
        <w:tc>
          <w:tcPr>
            <w:tcW w:w="3969" w:type="dxa"/>
            <w:tcBorders>
              <w:top w:val="none" w:sz="0" w:space="0" w:color="auto"/>
              <w:bottom w:val="none" w:sz="0" w:space="0" w:color="auto"/>
              <w:right w:val="none" w:sz="0" w:space="0" w:color="auto"/>
            </w:tcBorders>
          </w:tcPr>
          <w:p w14:paraId="752E6439" w14:textId="77777777" w:rsidR="00BA1A59" w:rsidRPr="00356F51" w:rsidRDefault="00BA1A59" w:rsidP="00467850">
            <w:pPr>
              <w:spacing w:before="120" w:after="120"/>
              <w:cnfStyle w:val="000000100000" w:firstRow="0" w:lastRow="0" w:firstColumn="0" w:lastColumn="0" w:oddVBand="0" w:evenVBand="0" w:oddHBand="1" w:evenHBand="0" w:firstRowFirstColumn="0" w:firstRowLastColumn="0" w:lastRowFirstColumn="0" w:lastRowLastColumn="0"/>
            </w:pPr>
            <w:r w:rsidRPr="00356F51">
              <w:t>Wording should include ‘there is no evidence of this recommendation’s effect on patient care’</w:t>
            </w:r>
          </w:p>
        </w:tc>
      </w:tr>
    </w:tbl>
    <w:p w14:paraId="00B0314A" w14:textId="77777777" w:rsidR="000C7102" w:rsidRDefault="000C7102" w:rsidP="000C7102">
      <w:pPr>
        <w:pStyle w:val="Heading3"/>
        <w:spacing w:after="0"/>
      </w:pPr>
    </w:p>
    <w:p w14:paraId="43ECF6B7" w14:textId="23F17207" w:rsidR="00BA1A59" w:rsidRPr="00492FD7" w:rsidRDefault="00BA1A59" w:rsidP="00DC2142">
      <w:pPr>
        <w:pStyle w:val="Heading3"/>
      </w:pPr>
      <w:r w:rsidRPr="00492FD7">
        <w:t>Consultation</w:t>
      </w:r>
    </w:p>
    <w:p w14:paraId="78D0BF4F" w14:textId="77777777" w:rsidR="006C414D" w:rsidRPr="004A4FC1" w:rsidRDefault="006C414D" w:rsidP="006C414D">
      <w:pPr>
        <w:widowControl w:val="0"/>
        <w:autoSpaceDE w:val="0"/>
        <w:autoSpaceDN w:val="0"/>
        <w:adjustRightInd w:val="0"/>
        <w:rPr>
          <w:bCs/>
        </w:rPr>
      </w:pPr>
      <w:r w:rsidRPr="004A4FC1">
        <w:rPr>
          <w:bCs/>
        </w:rPr>
        <w:t xml:space="preserve">The chapter has undergone several rounds of consultation. The multidisciplinary CDG formed the first part of the consultation process. The authors and GPAS </w:t>
      </w:r>
      <w:r>
        <w:rPr>
          <w:bCs/>
        </w:rPr>
        <w:t>Ed</w:t>
      </w:r>
      <w:r w:rsidRPr="004A4FC1">
        <w:rPr>
          <w:bCs/>
        </w:rPr>
        <w:t xml:space="preserve">itorial board identified key stakeholder groups. Where stakeholders are represented by an association or other medical college, they were asked to nominate delegates to join the CDG. The </w:t>
      </w:r>
      <w:hyperlink r:id="rId22" w:history="1">
        <w:r w:rsidRPr="000C7102">
          <w:rPr>
            <w:rStyle w:val="Hyperlink"/>
            <w:sz w:val="20"/>
          </w:rPr>
          <w:t>GPAS Chapter Development Process Document</w:t>
        </w:r>
      </w:hyperlink>
      <w:r w:rsidRPr="000C7102">
        <w:rPr>
          <w:sz w:val="22"/>
        </w:rPr>
        <w:t xml:space="preserve"> </w:t>
      </w:r>
      <w:r w:rsidRPr="004A4FC1">
        <w:rPr>
          <w:bCs/>
        </w:rPr>
        <w:t>explains the recruitment process for those CDG members who were not directly nominated. The CDG members were involved in drafting the recommendations, and were provided with an opportunity to comment on all subsequent drafts of the chapter.</w:t>
      </w:r>
    </w:p>
    <w:p w14:paraId="7B482E22" w14:textId="77777777" w:rsidR="006C414D" w:rsidRPr="004A4FC1" w:rsidRDefault="006C414D" w:rsidP="006C414D">
      <w:pPr>
        <w:widowControl w:val="0"/>
        <w:autoSpaceDE w:val="0"/>
        <w:autoSpaceDN w:val="0"/>
        <w:adjustRightInd w:val="0"/>
        <w:rPr>
          <w:bCs/>
        </w:rPr>
      </w:pPr>
      <w:r w:rsidRPr="004A4FC1">
        <w:rPr>
          <w:bCs/>
        </w:rPr>
        <w:t xml:space="preserve">The chapter underwent peer review. Peer reviewers were identified by the GPAS </w:t>
      </w:r>
      <w:r>
        <w:rPr>
          <w:bCs/>
        </w:rPr>
        <w:t>E</w:t>
      </w:r>
      <w:r w:rsidRPr="004A4FC1">
        <w:rPr>
          <w:bCs/>
        </w:rPr>
        <w:t>d</w:t>
      </w:r>
      <w:r>
        <w:rPr>
          <w:bCs/>
        </w:rPr>
        <w:t>itorial B</w:t>
      </w:r>
      <w:r w:rsidRPr="004A4FC1">
        <w:rPr>
          <w:bCs/>
        </w:rPr>
        <w:t>oard or Professional Standards Committee</w:t>
      </w:r>
      <w:r>
        <w:rPr>
          <w:bCs/>
        </w:rPr>
        <w:t xml:space="preserve"> (PSC)</w:t>
      </w:r>
      <w:r w:rsidRPr="004A4FC1">
        <w:rPr>
          <w:bCs/>
        </w:rPr>
        <w:t>. Nominees were either anaesthetists of consultant grade or were nominated by a key stakeholder group. Nominees had not had any involvement in the development of GPAS to date and were asked to comment upon a late draft of the chapter.</w:t>
      </w:r>
    </w:p>
    <w:p w14:paraId="1B1ED90C" w14:textId="77777777" w:rsidR="006C414D" w:rsidRPr="004A4FC1" w:rsidRDefault="006C414D" w:rsidP="006C414D">
      <w:pPr>
        <w:widowControl w:val="0"/>
        <w:autoSpaceDE w:val="0"/>
        <w:autoSpaceDN w:val="0"/>
        <w:adjustRightInd w:val="0"/>
        <w:rPr>
          <w:bCs/>
        </w:rPr>
      </w:pPr>
      <w:r w:rsidRPr="004A4FC1">
        <w:rPr>
          <w:bCs/>
        </w:rPr>
        <w:t xml:space="preserve">Following peer review, the chapter was reviewed by the College’s </w:t>
      </w:r>
      <w:r>
        <w:rPr>
          <w:bCs/>
        </w:rPr>
        <w:t>PSC</w:t>
      </w:r>
      <w:r w:rsidRPr="004A4FC1">
        <w:rPr>
          <w:bCs/>
        </w:rPr>
        <w:t xml:space="preserve"> and the College’s Lay Committee. Comments from all groups were considered and incorporated into a consultation draft. </w:t>
      </w:r>
    </w:p>
    <w:p w14:paraId="0F164E56" w14:textId="167E93F8" w:rsidR="00A61E7E" w:rsidRDefault="006C414D" w:rsidP="006C414D">
      <w:pPr>
        <w:widowControl w:val="0"/>
        <w:autoSpaceDE w:val="0"/>
        <w:autoSpaceDN w:val="0"/>
        <w:adjustRightInd w:val="0"/>
      </w:pPr>
      <w:r w:rsidRPr="004A4FC1">
        <w:rPr>
          <w:bCs/>
        </w:rPr>
        <w:t xml:space="preserve">The consultation draft of this chapter was circulated for public consultation from </w:t>
      </w:r>
      <w:r>
        <w:rPr>
          <w:bCs/>
        </w:rPr>
        <w:t xml:space="preserve">15 January </w:t>
      </w:r>
      <w:r w:rsidR="000C7102">
        <w:rPr>
          <w:bCs/>
        </w:rPr>
        <w:t>to</w:t>
      </w:r>
      <w:r>
        <w:rPr>
          <w:bCs/>
        </w:rPr>
        <w:t xml:space="preserve"> 12 February 2018</w:t>
      </w:r>
      <w:r w:rsidRPr="004A4FC1">
        <w:rPr>
          <w:bCs/>
        </w:rPr>
        <w:t xml:space="preserve">. </w:t>
      </w:r>
      <w:r w:rsidR="00FF714E" w:rsidRPr="004A4FC1">
        <w:rPr>
          <w:bCs/>
        </w:rPr>
        <w:t xml:space="preserve">As well as being made available on the College’s website and promoted via Twitter and the President’s newsletter to members, the draft was also circulated to all key stakeholder groups identified by the authors and the College. A list of organisations contacted by the College is available from the GPAS team at the College: </w:t>
      </w:r>
      <w:hyperlink r:id="rId23" w:history="1">
        <w:r w:rsidR="00FF714E" w:rsidRPr="00015B42">
          <w:rPr>
            <w:color w:val="50ABBF" w:themeColor="accent2"/>
            <w:u w:val="single"/>
          </w:rPr>
          <w:t>GPAS@rcoa.ac.uk</w:t>
        </w:r>
      </w:hyperlink>
      <w:r w:rsidR="00FF714E">
        <w:t>.</w:t>
      </w:r>
    </w:p>
    <w:p w14:paraId="5C329B5A" w14:textId="77777777" w:rsidR="00A61E7E" w:rsidRDefault="00A61E7E">
      <w:pPr>
        <w:spacing w:line="276" w:lineRule="auto"/>
      </w:pPr>
      <w:r>
        <w:br w:type="page"/>
      </w:r>
    </w:p>
    <w:p w14:paraId="4100DAFF" w14:textId="3BD2A5CA" w:rsidR="00BA1A59" w:rsidRPr="00356F51" w:rsidRDefault="00BA1A59" w:rsidP="009A0AC1">
      <w:pPr>
        <w:pStyle w:val="Heading2"/>
      </w:pPr>
      <w:r w:rsidRPr="00356F51">
        <w:lastRenderedPageBreak/>
        <w:t xml:space="preserve">The </w:t>
      </w:r>
      <w:r w:rsidR="000D78FC" w:rsidRPr="00356F51">
        <w:t xml:space="preserve">editorial independence </w:t>
      </w:r>
      <w:r w:rsidRPr="00356F51">
        <w:t>of GPAS</w:t>
      </w:r>
    </w:p>
    <w:p w14:paraId="4606B5F3" w14:textId="1235DD6B" w:rsidR="00F327A6" w:rsidRPr="00342AD5" w:rsidRDefault="00F327A6" w:rsidP="00F327A6">
      <w:r w:rsidRPr="00342AD5">
        <w:t>The development of GPAS is wholly funded by the Royal College of Anaesthetists. However, only the GPAS technical team and the GPAS researcher are paid directly by the College for their work on GPAS: the GPAS Editors’ e</w:t>
      </w:r>
      <w:r w:rsidR="00BD2DDD">
        <w:t>mploying organisation receives two</w:t>
      </w:r>
      <w:r w:rsidRPr="00342AD5">
        <w:t xml:space="preserve"> programmed activities (PA) backfill funding. All funding decisions by the College are made by the chief executive officer, in collaboration with the senior management team and College Council.</w:t>
      </w:r>
    </w:p>
    <w:p w14:paraId="0A7F0D23" w14:textId="77777777" w:rsidR="00F327A6" w:rsidRPr="00342AD5" w:rsidRDefault="00F327A6" w:rsidP="00F327A6">
      <w:r w:rsidRPr="00342AD5">
        <w:t>The authors of the chapters are all fellows of the Royal College of Anaesthetists. Members of College Council cannot act as chair of any CDG, as this individual has the deciding vote under the consensus method of decision making used in the chapters. Where College Council members have been involved in chapter development, this has been declared and recorded.</w:t>
      </w:r>
    </w:p>
    <w:p w14:paraId="4727B3BB" w14:textId="77777777" w:rsidR="00F327A6" w:rsidRPr="00342AD5" w:rsidRDefault="00F327A6" w:rsidP="00F327A6">
      <w:r w:rsidRPr="00342AD5">
        <w:t xml:space="preserve">All persons involved in the development of GPAS are required to declare any pecuniary or non-pecuniary conflict of interest, in line with the GPAS conflict of interest policy as described in the </w:t>
      </w:r>
      <w:hyperlink r:id="rId24" w:history="1">
        <w:r w:rsidRPr="00342AD5">
          <w:rPr>
            <w:color w:val="50ABBF"/>
            <w:u w:val="single"/>
          </w:rPr>
          <w:t>GPAS Chapter Development Process Document</w:t>
        </w:r>
      </w:hyperlink>
      <w:r w:rsidRPr="00342AD5">
        <w:t>. Any conflicts of interest are managed on a case-by-case basis to maintain the transparency and impartiality of the GPAS document. The conflicts, and the way they were managed, are outlined at the beginning of the chapter.</w:t>
      </w:r>
    </w:p>
    <w:p w14:paraId="5926F9BA" w14:textId="77777777" w:rsidR="00F327A6" w:rsidRPr="00342AD5" w:rsidRDefault="00F327A6" w:rsidP="00F327A6">
      <w:pPr>
        <w:keepNext/>
        <w:keepLines/>
        <w:spacing w:before="200" w:after="120"/>
        <w:outlineLvl w:val="2"/>
        <w:rPr>
          <w:rFonts w:eastAsia="MS ????"/>
          <w:b/>
          <w:bCs/>
          <w:color w:val="291F51"/>
          <w:sz w:val="22"/>
          <w:szCs w:val="24"/>
          <w:u w:color="291F51"/>
          <w:bdr w:val="nil"/>
        </w:rPr>
      </w:pPr>
      <w:r w:rsidRPr="00342AD5">
        <w:rPr>
          <w:rFonts w:eastAsia="MS ????"/>
          <w:b/>
          <w:bCs/>
          <w:color w:val="291F51"/>
          <w:sz w:val="22"/>
          <w:szCs w:val="24"/>
          <w:u w:color="291F51"/>
          <w:bdr w:val="nil"/>
        </w:rPr>
        <w:t>The role of the GPAS Editorial Board and CQRB</w:t>
      </w:r>
    </w:p>
    <w:p w14:paraId="47474AE2" w14:textId="77777777" w:rsidR="00F327A6" w:rsidRPr="00342AD5" w:rsidRDefault="00F327A6" w:rsidP="00F327A6">
      <w:r w:rsidRPr="00342AD5">
        <w:t xml:space="preserve">The overall development of the entire GPAS document is overseen by the CQRB of the Royal College of Anaesthetists, which includes representatives from all grades of anaesthetist and from clinical directors, and which also has lay representation. </w:t>
      </w:r>
    </w:p>
    <w:p w14:paraId="151092AD" w14:textId="77777777" w:rsidR="00F327A6" w:rsidRPr="00342AD5" w:rsidRDefault="00F327A6" w:rsidP="00F327A6">
      <w:r w:rsidRPr="00342AD5">
        <w:t>Responsibility for managing the scope of the document and providing clinical oversight to the project technical team is delegated by the CQRB to the GPAS Editorial Board, which includes individuals responsible for the various internal stakeholders (see above for membership). On the inclusion/exclusion of specific recommendations within each chapter, the Editorial Board can only provide advice to the authors. In the event of disagreement between the authors, the majority rules consensus method is used, with the GPAS Editor holding the deciding vote.</w:t>
      </w:r>
    </w:p>
    <w:p w14:paraId="5E05D0C2" w14:textId="22964584" w:rsidR="005A63A9" w:rsidRDefault="00F327A6" w:rsidP="00F327A6">
      <w:pPr>
        <w:rPr>
          <w:rFonts w:asciiTheme="majorHAnsi" w:eastAsiaTheme="majorEastAsia" w:hAnsiTheme="majorHAnsi" w:cstheme="majorBidi"/>
          <w:b/>
          <w:bCs/>
          <w:color w:val="CD6084" w:themeColor="accent5"/>
          <w:sz w:val="24"/>
          <w:szCs w:val="26"/>
        </w:rPr>
      </w:pPr>
      <w:r w:rsidRPr="00342AD5">
        <w:t>Both of these groups, along with the College’s Lay Committee, review each chapter and provide comment prior to public consultation and are responsible for signoff before final publication. In the event of disagreement, consensus is reached using the majority rules consensus method, with the chair of CQRB holding the deciding vote.</w:t>
      </w:r>
    </w:p>
    <w:p w14:paraId="58A26AF4" w14:textId="638E1D45" w:rsidR="00BA1A59" w:rsidRPr="00356F51" w:rsidRDefault="00BA1A59" w:rsidP="009A0AC1">
      <w:pPr>
        <w:pStyle w:val="Heading2"/>
      </w:pPr>
      <w:r w:rsidRPr="00356F51">
        <w:t>Updating these guidelines</w:t>
      </w:r>
    </w:p>
    <w:p w14:paraId="69EDE5B2" w14:textId="433A9376" w:rsidR="00BA1A59" w:rsidRPr="00356F51" w:rsidRDefault="00BA1A59" w:rsidP="00BA1A59">
      <w:r w:rsidRPr="00356F51">
        <w:t>This chapter will be updated for republication in January 20</w:t>
      </w:r>
      <w:r w:rsidR="000C7102">
        <w:t>20</w:t>
      </w:r>
      <w:r w:rsidRPr="00356F51">
        <w:t>.</w:t>
      </w:r>
    </w:p>
    <w:p w14:paraId="6691D818" w14:textId="126F4916" w:rsidR="00BA1A59" w:rsidRPr="00356F51" w:rsidRDefault="00BA1A59" w:rsidP="00BA1A59">
      <w:r w:rsidRPr="00356F51">
        <w:t>Guidelines will be updated on an annual basis. The researcher will conduct the literature search again using the same search strategy to uncover any new evidence and members of the public will be able to submit new evidence to the GPAS project team.</w:t>
      </w:r>
      <w:r w:rsidR="00BE66D6">
        <w:t xml:space="preserve"> </w:t>
      </w:r>
      <w:r w:rsidRPr="00356F51">
        <w:t>Where new evidence is uncovered, the lead author will decide whether the recommendations that were originally made are still valid in light of this new evidence.</w:t>
      </w:r>
      <w:r w:rsidR="00BE66D6">
        <w:t xml:space="preserve"> </w:t>
      </w:r>
    </w:p>
    <w:p w14:paraId="041C0948" w14:textId="77777777" w:rsidR="00BA1A59" w:rsidRPr="00356F51" w:rsidRDefault="00BA1A59" w:rsidP="00BA1A59">
      <w:r w:rsidRPr="00356F51">
        <w:t xml:space="preserve">If new evidence contradicts or strengthens existing recommendations, the authors decide whether or not to involve the remainder of the CDG in revising the recommendations accordingly. </w:t>
      </w:r>
    </w:p>
    <w:p w14:paraId="429CCC99" w14:textId="77777777" w:rsidR="00BA1A59" w:rsidRPr="00356F51" w:rsidRDefault="00BA1A59" w:rsidP="00BA1A59">
      <w:r w:rsidRPr="00356F51">
        <w:t xml:space="preserve">If new evidence agrees with existing recommendations, then a reference may be added but no further action is required. </w:t>
      </w:r>
    </w:p>
    <w:p w14:paraId="1461E153" w14:textId="5C9F8FC2" w:rsidR="00BA1A59" w:rsidRPr="00356F51" w:rsidRDefault="00BA1A59" w:rsidP="00BA1A59">
      <w:r w:rsidRPr="00356F51">
        <w:t>If there is no new evidence then no action is required.</w:t>
      </w:r>
      <w:r w:rsidR="00BE66D6">
        <w:t xml:space="preserve"> </w:t>
      </w:r>
      <w:r w:rsidRPr="00356F51">
        <w:t xml:space="preserve"> </w:t>
      </w:r>
    </w:p>
    <w:p w14:paraId="0A0DFB88" w14:textId="702FBF19" w:rsidR="00BA1A59" w:rsidRPr="00356F51" w:rsidRDefault="00BA1A59" w:rsidP="00BA1A59">
      <w:r w:rsidRPr="00356F51">
        <w:t>This chapter is due to be fully reviewed for publication in January 20</w:t>
      </w:r>
      <w:r w:rsidR="00A82B46">
        <w:t>23</w:t>
      </w:r>
      <w:r w:rsidRPr="00356F51">
        <w:t>.</w:t>
      </w:r>
    </w:p>
    <w:p w14:paraId="2DAAAAFA" w14:textId="7930CF51" w:rsidR="005A63A9" w:rsidRDefault="00BA1A59" w:rsidP="005A63A9">
      <w:r w:rsidRPr="00356F51">
        <w:lastRenderedPageBreak/>
        <w:t>Every five years guidance will be submitted to a full review involving reconvening the CDG (or appointment of a new, appropriately qualified CDG), and the process described in the methodology section of this chapter begins again.</w:t>
      </w:r>
    </w:p>
    <w:p w14:paraId="076E04A7" w14:textId="77777777" w:rsidR="005A63A9" w:rsidRPr="00A205F4" w:rsidRDefault="005A63A9" w:rsidP="005A63A9">
      <w:pPr>
        <w:rPr>
          <w:szCs w:val="18"/>
        </w:rPr>
      </w:pPr>
      <w:r w:rsidRPr="00A205F4">
        <w:rPr>
          <w:noProof/>
          <w:szCs w:val="18"/>
        </w:rPr>
        <w:drawing>
          <wp:inline distT="0" distB="0" distL="0" distR="0" wp14:anchorId="5F184ECB" wp14:editId="42939B23">
            <wp:extent cx="1854200" cy="9387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CoA-Initials-RGB-Purple.ai"/>
                    <pic:cNvPicPr/>
                  </pic:nvPicPr>
                  <pic:blipFill rotWithShape="1">
                    <a:blip r:embed="rId25"/>
                    <a:srcRect l="5149"/>
                    <a:stretch/>
                  </pic:blipFill>
                  <pic:spPr bwMode="auto">
                    <a:xfrm>
                      <a:off x="0" y="0"/>
                      <a:ext cx="1906752" cy="965375"/>
                    </a:xfrm>
                    <a:prstGeom prst="rect">
                      <a:avLst/>
                    </a:prstGeom>
                    <a:ln>
                      <a:noFill/>
                    </a:ln>
                    <a:extLst>
                      <a:ext uri="{53640926-AAD7-44D8-BBD7-CCE9431645EC}">
                        <a14:shadowObscured xmlns:a14="http://schemas.microsoft.com/office/drawing/2010/main"/>
                      </a:ext>
                    </a:extLst>
                  </pic:spPr>
                </pic:pic>
              </a:graphicData>
            </a:graphic>
          </wp:inline>
        </w:drawing>
      </w:r>
    </w:p>
    <w:p w14:paraId="22B532C1" w14:textId="77777777" w:rsidR="005A63A9" w:rsidRPr="00A205F4" w:rsidRDefault="005A63A9" w:rsidP="005A63A9">
      <w:pPr>
        <w:rPr>
          <w:szCs w:val="18"/>
        </w:rPr>
      </w:pPr>
      <w:r w:rsidRPr="00A205F4">
        <w:rPr>
          <w:szCs w:val="18"/>
        </w:rPr>
        <w:t>Royal College of Anaesthetists, Churchill House, 35 Red Lion Square, London WC1R 4SG</w:t>
      </w:r>
      <w:r w:rsidRPr="00A205F4">
        <w:rPr>
          <w:szCs w:val="18"/>
        </w:rPr>
        <w:br/>
        <w:t>020 7092 150</w:t>
      </w:r>
      <w:r w:rsidRPr="00F327A6">
        <w:rPr>
          <w:szCs w:val="20"/>
        </w:rPr>
        <w:t>0</w:t>
      </w:r>
      <w:r w:rsidRPr="00F327A6">
        <w:rPr>
          <w:szCs w:val="20"/>
        </w:rPr>
        <w:t> </w:t>
      </w:r>
      <w:r w:rsidRPr="00F327A6">
        <w:rPr>
          <w:b/>
          <w:bCs/>
          <w:color w:val="CD6084" w:themeColor="accent5"/>
          <w:szCs w:val="20"/>
        </w:rPr>
        <w:t>|</w:t>
      </w:r>
      <w:r w:rsidRPr="00F327A6">
        <w:rPr>
          <w:szCs w:val="20"/>
        </w:rPr>
        <w:t> </w:t>
      </w:r>
      <w:hyperlink r:id="rId26" w:history="1">
        <w:r w:rsidRPr="00F327A6">
          <w:rPr>
            <w:rStyle w:val="Hyperlink"/>
            <w:sz w:val="20"/>
            <w:szCs w:val="20"/>
          </w:rPr>
          <w:t>www.rcoa.ac.uk/gpas</w:t>
        </w:r>
      </w:hyperlink>
      <w:r w:rsidRPr="00F327A6">
        <w:rPr>
          <w:szCs w:val="20"/>
        </w:rPr>
        <w:t> </w:t>
      </w:r>
      <w:r w:rsidRPr="00F327A6">
        <w:rPr>
          <w:b/>
          <w:bCs/>
          <w:color w:val="CD6084" w:themeColor="accent5"/>
          <w:szCs w:val="20"/>
        </w:rPr>
        <w:t>|</w:t>
      </w:r>
      <w:r w:rsidRPr="00F327A6">
        <w:rPr>
          <w:szCs w:val="20"/>
        </w:rPr>
        <w:t> </w:t>
      </w:r>
      <w:hyperlink r:id="rId27" w:history="1">
        <w:r w:rsidRPr="00F327A6">
          <w:rPr>
            <w:rStyle w:val="Hyperlink"/>
            <w:sz w:val="20"/>
            <w:szCs w:val="20"/>
          </w:rPr>
          <w:t>gpas@rcoa.ac.uk</w:t>
        </w:r>
      </w:hyperlink>
    </w:p>
    <w:p w14:paraId="008FF4B0" w14:textId="22671A90" w:rsidR="005A63A9" w:rsidRPr="00356F51" w:rsidRDefault="005A63A9" w:rsidP="009A5F23">
      <w:r w:rsidRPr="00A205F4">
        <w:rPr>
          <w:szCs w:val="18"/>
        </w:rPr>
        <w:t>© Royal College of Anaesthetists (RCoA)</w:t>
      </w:r>
    </w:p>
    <w:sectPr w:rsidR="005A63A9" w:rsidRPr="00356F51" w:rsidSect="002D2A98">
      <w:endnotePr>
        <w:numFmt w:val="decimal"/>
      </w:endnotePr>
      <w:type w:val="continuous"/>
      <w:pgSz w:w="11906" w:h="16838"/>
      <w:pgMar w:top="2552"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1D42F" w14:textId="77777777" w:rsidR="00A14E0A" w:rsidRPr="002D43E6" w:rsidRDefault="00A14E0A" w:rsidP="002D43E6">
      <w:pPr>
        <w:pStyle w:val="Footer"/>
        <w:rPr>
          <w:sz w:val="2"/>
        </w:rPr>
      </w:pPr>
    </w:p>
  </w:endnote>
  <w:endnote w:type="continuationSeparator" w:id="0">
    <w:p w14:paraId="60A80025" w14:textId="77777777" w:rsidR="00A14E0A" w:rsidRPr="002D43E6" w:rsidRDefault="00A14E0A" w:rsidP="002D43E6">
      <w:pPr>
        <w:pStyle w:val="Footer"/>
        <w:rPr>
          <w:sz w:val="2"/>
        </w:rPr>
      </w:pPr>
    </w:p>
  </w:endnote>
  <w:endnote w:id="1">
    <w:p w14:paraId="64EF3E59" w14:textId="1094F492"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Guidelines for the provision of intensive care services. </w:t>
      </w:r>
      <w:r w:rsidRPr="000C7102">
        <w:rPr>
          <w:rFonts w:asciiTheme="minorHAnsi" w:hAnsiTheme="minorHAnsi"/>
          <w:i/>
        </w:rPr>
        <w:t>FICM</w:t>
      </w:r>
      <w:r w:rsidRPr="000C7102">
        <w:rPr>
          <w:rFonts w:asciiTheme="minorHAnsi" w:hAnsiTheme="minorHAnsi"/>
        </w:rPr>
        <w:t>, 2016 (</w:t>
      </w:r>
      <w:hyperlink r:id="rId1" w:history="1">
        <w:r w:rsidRPr="00614620">
          <w:rPr>
            <w:rStyle w:val="Hyperlink"/>
            <w:rFonts w:asciiTheme="minorHAnsi" w:hAnsiTheme="minorHAnsi"/>
          </w:rPr>
          <w:t>bit.ly/2PPiJgQ</w:t>
        </w:r>
      </w:hyperlink>
      <w:r w:rsidRPr="000C7102">
        <w:rPr>
          <w:rFonts w:asciiTheme="minorHAnsi" w:hAnsiTheme="minorHAnsi"/>
        </w:rPr>
        <w:t>)</w:t>
      </w:r>
      <w:r>
        <w:rPr>
          <w:rFonts w:asciiTheme="minorHAnsi" w:hAnsiTheme="minorHAnsi"/>
        </w:rPr>
        <w:t xml:space="preserve"> </w:t>
      </w:r>
    </w:p>
  </w:endnote>
  <w:endnote w:id="2">
    <w:p w14:paraId="4937B92B" w14:textId="47F71A75"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Farling PA. The neuroanaesthesia workforce in Great Britain and Ireland. </w:t>
      </w:r>
      <w:r w:rsidRPr="000C7102">
        <w:rPr>
          <w:rFonts w:asciiTheme="minorHAnsi" w:hAnsiTheme="minorHAnsi"/>
          <w:i/>
        </w:rPr>
        <w:t>Anaesth</w:t>
      </w:r>
      <w:r w:rsidRPr="000C7102">
        <w:rPr>
          <w:rFonts w:asciiTheme="minorHAnsi" w:hAnsiTheme="minorHAnsi"/>
        </w:rPr>
        <w:t xml:space="preserve"> 2003; 58: 17-23</w:t>
      </w:r>
    </w:p>
  </w:endnote>
  <w:endnote w:id="3">
    <w:p w14:paraId="79C7827B" w14:textId="13533F06"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Jellish WS, Edelstein S. Neuroanesthesia. </w:t>
      </w:r>
      <w:r w:rsidRPr="000C7102">
        <w:rPr>
          <w:rFonts w:asciiTheme="minorHAnsi" w:hAnsiTheme="minorHAnsi"/>
          <w:i/>
        </w:rPr>
        <w:t>Handb Clin Neurol</w:t>
      </w:r>
      <w:r w:rsidRPr="000C7102">
        <w:rPr>
          <w:rFonts w:asciiTheme="minorHAnsi" w:hAnsiTheme="minorHAnsi"/>
        </w:rPr>
        <w:t xml:space="preserve"> 2014; 121: 1623-33</w:t>
      </w:r>
    </w:p>
  </w:endnote>
  <w:endnote w:id="4">
    <w:p w14:paraId="75E59D0B" w14:textId="69ACF707" w:rsidR="00A14E0A" w:rsidRPr="000C7102" w:rsidRDefault="00A14E0A" w:rsidP="000C7102">
      <w:pPr>
        <w:pStyle w:val="References"/>
        <w:rPr>
          <w:rFonts w:asciiTheme="minorHAnsi" w:hAnsiTheme="minorHAnsi"/>
          <w:highlight w:val="yellow"/>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Working arrangements for consultant anaesthetists in the United Kingdom. </w:t>
      </w:r>
      <w:r w:rsidRPr="000C7102">
        <w:rPr>
          <w:rFonts w:asciiTheme="minorHAnsi" w:hAnsiTheme="minorHAnsi"/>
          <w:i/>
        </w:rPr>
        <w:t>AAGBI</w:t>
      </w:r>
      <w:r w:rsidRPr="000C7102">
        <w:rPr>
          <w:rFonts w:asciiTheme="minorHAnsi" w:hAnsiTheme="minorHAnsi"/>
        </w:rPr>
        <w:t>, 2011 (</w:t>
      </w:r>
      <w:hyperlink r:id="rId2" w:history="1">
        <w:r w:rsidRPr="000C7102">
          <w:rPr>
            <w:rStyle w:val="Hyperlink"/>
            <w:rFonts w:asciiTheme="minorHAnsi" w:hAnsiTheme="minorHAnsi"/>
          </w:rPr>
          <w:t>bit.ly/1Kzj6SP</w:t>
        </w:r>
      </w:hyperlink>
      <w:r w:rsidRPr="000C7102">
        <w:rPr>
          <w:rFonts w:asciiTheme="minorHAnsi" w:hAnsiTheme="minorHAnsi"/>
        </w:rPr>
        <w:t>)</w:t>
      </w:r>
    </w:p>
  </w:endnote>
  <w:endnote w:id="5">
    <w:p w14:paraId="04C6B2A6" w14:textId="4ECEAE3C"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Fatigue and anaesthetists. </w:t>
      </w:r>
      <w:r w:rsidRPr="000C7102">
        <w:rPr>
          <w:rFonts w:asciiTheme="minorHAnsi" w:hAnsiTheme="minorHAnsi"/>
          <w:i/>
          <w:iCs/>
        </w:rPr>
        <w:t>AAGBI</w:t>
      </w:r>
      <w:r w:rsidRPr="000C7102">
        <w:rPr>
          <w:rFonts w:asciiTheme="minorHAnsi" w:hAnsiTheme="minorHAnsi"/>
        </w:rPr>
        <w:t>, 2014 (</w:t>
      </w:r>
      <w:hyperlink r:id="rId3" w:history="1">
        <w:r w:rsidRPr="000C7102">
          <w:rPr>
            <w:rStyle w:val="Hyperlink"/>
            <w:rFonts w:asciiTheme="minorHAnsi" w:hAnsiTheme="minorHAnsi"/>
          </w:rPr>
          <w:t>bit.ly/1UlL360</w:t>
        </w:r>
      </w:hyperlink>
      <w:r w:rsidRPr="000C7102">
        <w:rPr>
          <w:rFonts w:asciiTheme="minorHAnsi" w:hAnsiTheme="minorHAnsi"/>
        </w:rPr>
        <w:t>)</w:t>
      </w:r>
    </w:p>
  </w:endnote>
  <w:endnote w:id="6">
    <w:p w14:paraId="55C04353" w14:textId="0E68B73E"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Willoughby L, Morgan R. Neuroanaesthetists' experience of workload-related issues and long-duration cases. </w:t>
      </w:r>
      <w:r w:rsidRPr="000C7102">
        <w:rPr>
          <w:rFonts w:asciiTheme="minorHAnsi" w:hAnsiTheme="minorHAnsi"/>
          <w:i/>
        </w:rPr>
        <w:t xml:space="preserve">Anaesth </w:t>
      </w:r>
      <w:r w:rsidRPr="000C7102">
        <w:rPr>
          <w:rFonts w:asciiTheme="minorHAnsi" w:hAnsiTheme="minorHAnsi"/>
        </w:rPr>
        <w:t>2005; 60: 151-4</w:t>
      </w:r>
    </w:p>
  </w:endnote>
  <w:endnote w:id="7">
    <w:p w14:paraId="4BE3A9C2" w14:textId="5048E9FE"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Guidance on the provision of anaesthesia services for intraoperative care. </w:t>
      </w:r>
      <w:r w:rsidRPr="000C7102">
        <w:rPr>
          <w:rFonts w:asciiTheme="minorHAnsi" w:hAnsiTheme="minorHAnsi"/>
          <w:i/>
        </w:rPr>
        <w:t>RCoA</w:t>
      </w:r>
      <w:r w:rsidRPr="000C7102">
        <w:rPr>
          <w:rFonts w:asciiTheme="minorHAnsi" w:hAnsiTheme="minorHAnsi"/>
        </w:rPr>
        <w:t>, London 2019</w:t>
      </w:r>
    </w:p>
  </w:endnote>
  <w:endnote w:id="8">
    <w:p w14:paraId="77F452D0" w14:textId="60B96B53"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Style w:val="EndnoteReference"/>
          <w:rFonts w:asciiTheme="minorHAnsi" w:hAnsiTheme="minorHAnsi"/>
          <w:vertAlign w:val="baseline"/>
        </w:rPr>
        <w:t xml:space="preserve"> </w:t>
      </w:r>
      <w:r w:rsidRPr="000C7102">
        <w:rPr>
          <w:rFonts w:asciiTheme="minorHAnsi" w:hAnsiTheme="minorHAnsi"/>
        </w:rPr>
        <w:tab/>
        <w:t xml:space="preserve">Subarachnoid haemorrhage: managing the flow. </w:t>
      </w:r>
      <w:r w:rsidRPr="000C7102">
        <w:rPr>
          <w:rFonts w:asciiTheme="minorHAnsi" w:hAnsiTheme="minorHAnsi"/>
          <w:i/>
        </w:rPr>
        <w:t>NCEPOD</w:t>
      </w:r>
      <w:r w:rsidRPr="000C7102">
        <w:rPr>
          <w:rFonts w:asciiTheme="minorHAnsi" w:hAnsiTheme="minorHAnsi"/>
        </w:rPr>
        <w:t>, 2013 (</w:t>
      </w:r>
      <w:hyperlink r:id="rId4" w:history="1">
        <w:r w:rsidRPr="000C7102">
          <w:rPr>
            <w:rStyle w:val="Hyperlink"/>
            <w:rFonts w:asciiTheme="minorHAnsi" w:hAnsiTheme="minorHAnsi"/>
          </w:rPr>
          <w:t>bit.ly/2wOj2OD</w:t>
        </w:r>
      </w:hyperlink>
      <w:r w:rsidRPr="000C7102">
        <w:rPr>
          <w:rFonts w:asciiTheme="minorHAnsi" w:hAnsiTheme="minorHAnsi"/>
        </w:rPr>
        <w:t>)</w:t>
      </w:r>
    </w:p>
  </w:endnote>
  <w:endnote w:id="9">
    <w:p w14:paraId="7319DF82" w14:textId="1AEB77B3"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Style w:val="EndnoteReference"/>
          <w:rFonts w:asciiTheme="minorHAnsi" w:hAnsiTheme="minorHAnsi"/>
          <w:vertAlign w:val="baseline"/>
        </w:rPr>
        <w:t xml:space="preserve"> </w:t>
      </w:r>
      <w:r w:rsidRPr="000C7102">
        <w:rPr>
          <w:rStyle w:val="EndnoteReference"/>
          <w:rFonts w:asciiTheme="minorHAnsi" w:hAnsiTheme="minorHAnsi"/>
          <w:vertAlign w:val="baseline"/>
        </w:rPr>
        <w:tab/>
      </w:r>
      <w:r w:rsidRPr="000C7102">
        <w:rPr>
          <w:rFonts w:asciiTheme="minorHAnsi" w:hAnsiTheme="minorHAnsi"/>
        </w:rPr>
        <w:t xml:space="preserve">Standards for providing safe acute ischaemic stroke thrombectomy services. </w:t>
      </w:r>
      <w:r w:rsidRPr="000C7102">
        <w:rPr>
          <w:rFonts w:asciiTheme="minorHAnsi" w:hAnsiTheme="minorHAnsi"/>
          <w:i/>
        </w:rPr>
        <w:t>BASP</w:t>
      </w:r>
      <w:r w:rsidRPr="000C7102">
        <w:rPr>
          <w:rFonts w:asciiTheme="minorHAnsi" w:hAnsiTheme="minorHAnsi"/>
        </w:rPr>
        <w:t>, 2015 (</w:t>
      </w:r>
      <w:hyperlink r:id="rId5" w:history="1">
        <w:r w:rsidRPr="000C7102">
          <w:rPr>
            <w:rStyle w:val="Hyperlink"/>
            <w:rFonts w:asciiTheme="minorHAnsi" w:hAnsiTheme="minorHAnsi"/>
          </w:rPr>
          <w:t>bit.ly/2FTAKpK</w:t>
        </w:r>
      </w:hyperlink>
      <w:r w:rsidRPr="000C7102">
        <w:rPr>
          <w:rFonts w:asciiTheme="minorHAnsi" w:hAnsiTheme="minorHAnsi"/>
        </w:rPr>
        <w:t>)</w:t>
      </w:r>
    </w:p>
  </w:endnote>
  <w:endnote w:id="10">
    <w:p w14:paraId="42A0786F" w14:textId="71B73104"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Position statement on workforce requirements in critical care units. </w:t>
      </w:r>
      <w:r w:rsidRPr="000C7102">
        <w:rPr>
          <w:rFonts w:asciiTheme="minorHAnsi" w:hAnsiTheme="minorHAnsi"/>
          <w:i/>
        </w:rPr>
        <w:t xml:space="preserve">EfCCNa, </w:t>
      </w:r>
      <w:r w:rsidRPr="000C7102">
        <w:rPr>
          <w:rFonts w:asciiTheme="minorHAnsi" w:hAnsiTheme="minorHAnsi"/>
        </w:rPr>
        <w:t>2007 (</w:t>
      </w:r>
      <w:hyperlink r:id="rId6" w:history="1">
        <w:r w:rsidRPr="000C7102">
          <w:rPr>
            <w:rStyle w:val="Hyperlink"/>
            <w:rFonts w:asciiTheme="minorHAnsi" w:hAnsiTheme="minorHAnsi"/>
          </w:rPr>
          <w:t>bit.ly/2vLtBoN</w:t>
        </w:r>
      </w:hyperlink>
      <w:r w:rsidRPr="000C7102">
        <w:rPr>
          <w:rFonts w:asciiTheme="minorHAnsi" w:hAnsiTheme="minorHAnsi"/>
        </w:rPr>
        <w:t>)</w:t>
      </w:r>
    </w:p>
  </w:endnote>
  <w:endnote w:id="11">
    <w:p w14:paraId="21391E0E" w14:textId="27935E19"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Recommendations for standards of monitoring during anaesthesia and recovery 2015. </w:t>
      </w:r>
      <w:r w:rsidRPr="000C7102">
        <w:rPr>
          <w:rFonts w:asciiTheme="minorHAnsi" w:hAnsiTheme="minorHAnsi"/>
          <w:i/>
        </w:rPr>
        <w:t xml:space="preserve">Anaesth </w:t>
      </w:r>
      <w:r w:rsidRPr="000C7102">
        <w:rPr>
          <w:rFonts w:asciiTheme="minorHAnsi" w:hAnsiTheme="minorHAnsi"/>
        </w:rPr>
        <w:t>2016; 71: 85-93</w:t>
      </w:r>
    </w:p>
  </w:endnote>
  <w:endnote w:id="12">
    <w:p w14:paraId="2742CFDC" w14:textId="4EAB50D0"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Panchatsharam S, Lewinsohn B, De La Cerda G, Wijayatilake D. Monitoring of severe traumatic brain injury in patients in UK ICUs: a national survey. </w:t>
      </w:r>
      <w:r w:rsidRPr="000C7102">
        <w:rPr>
          <w:rFonts w:asciiTheme="minorHAnsi" w:hAnsiTheme="minorHAnsi"/>
          <w:i/>
        </w:rPr>
        <w:t>Crit Care</w:t>
      </w:r>
      <w:r w:rsidRPr="000C7102">
        <w:rPr>
          <w:rFonts w:asciiTheme="minorHAnsi" w:hAnsiTheme="minorHAnsi"/>
        </w:rPr>
        <w:t xml:space="preserve"> 2013; 17: 335 </w:t>
      </w:r>
    </w:p>
  </w:endnote>
  <w:endnote w:id="13">
    <w:p w14:paraId="492CFD6B" w14:textId="66D19208" w:rsidR="00A14E0A" w:rsidRPr="000C7102" w:rsidRDefault="00A14E0A" w:rsidP="000C7102">
      <w:pPr>
        <w:pStyle w:val="References"/>
        <w:rPr>
          <w:rFonts w:asciiTheme="minorHAnsi" w:hAnsiTheme="minorHAnsi"/>
          <w:lang w:val="pl-PL"/>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Fabregas N, Gorma C. Monitoring in neuroanaesthesia: update of clinical usefulness. </w:t>
      </w:r>
      <w:r w:rsidRPr="000C7102">
        <w:rPr>
          <w:rFonts w:asciiTheme="minorHAnsi" w:hAnsiTheme="minorHAnsi"/>
          <w:i/>
          <w:lang w:val="pl-PL"/>
        </w:rPr>
        <w:t>Eur J Anaesthesiol</w:t>
      </w:r>
      <w:r w:rsidRPr="000C7102">
        <w:rPr>
          <w:rFonts w:asciiTheme="minorHAnsi" w:hAnsiTheme="minorHAnsi"/>
          <w:lang w:val="pl-PL"/>
        </w:rPr>
        <w:t xml:space="preserve"> 2001; 18: 423-39</w:t>
      </w:r>
    </w:p>
  </w:endnote>
  <w:endnote w:id="14">
    <w:p w14:paraId="5E02CB2F" w14:textId="4176A926"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lang w:val="pl-PL"/>
        </w:rPr>
        <w:t xml:space="preserve"> </w:t>
      </w:r>
      <w:r w:rsidRPr="000C7102">
        <w:rPr>
          <w:rFonts w:asciiTheme="minorHAnsi" w:hAnsiTheme="minorHAnsi"/>
          <w:lang w:val="pl-PL"/>
        </w:rPr>
        <w:tab/>
        <w:t xml:space="preserve">Goto T, Tanaka Y, Kodama K </w:t>
      </w:r>
      <w:r w:rsidRPr="000C7102">
        <w:rPr>
          <w:rFonts w:asciiTheme="minorHAnsi" w:hAnsiTheme="minorHAnsi"/>
          <w:i/>
          <w:lang w:val="pl-PL"/>
        </w:rPr>
        <w:t>et al</w:t>
      </w:r>
      <w:r w:rsidRPr="000C7102">
        <w:rPr>
          <w:rFonts w:asciiTheme="minorHAnsi" w:hAnsiTheme="minorHAnsi"/>
          <w:lang w:val="pl-PL"/>
        </w:rPr>
        <w:t xml:space="preserve">. </w:t>
      </w:r>
      <w:r w:rsidRPr="000C7102">
        <w:rPr>
          <w:rFonts w:asciiTheme="minorHAnsi" w:hAnsiTheme="minorHAnsi"/>
        </w:rPr>
        <w:t xml:space="preserve">Staple electrodes: an innovative alternative for intraoperative electrophysiological monitoring. </w:t>
      </w:r>
      <w:r w:rsidRPr="000C7102">
        <w:rPr>
          <w:rFonts w:asciiTheme="minorHAnsi" w:hAnsiTheme="minorHAnsi"/>
          <w:i/>
        </w:rPr>
        <w:t>J Neurosurg</w:t>
      </w:r>
      <w:r w:rsidRPr="000C7102">
        <w:rPr>
          <w:rFonts w:asciiTheme="minorHAnsi" w:hAnsiTheme="minorHAnsi"/>
        </w:rPr>
        <w:t xml:space="preserve"> 2008: 108; 816-9</w:t>
      </w:r>
    </w:p>
  </w:endnote>
  <w:endnote w:id="15">
    <w:p w14:paraId="2C39B7B2" w14:textId="0BD9A508"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Yokobori S, Yokota H. Targeted temperature management in traumatic brain injury. </w:t>
      </w:r>
      <w:r w:rsidRPr="000C7102">
        <w:rPr>
          <w:rFonts w:ascii="Arial" w:hAnsi="Arial" w:cs="Arial"/>
          <w:i/>
        </w:rPr>
        <w:t>‎</w:t>
      </w:r>
      <w:r w:rsidRPr="000C7102">
        <w:rPr>
          <w:rFonts w:asciiTheme="minorHAnsi" w:hAnsiTheme="minorHAnsi"/>
          <w:i/>
        </w:rPr>
        <w:t>J Intensive Care Med</w:t>
      </w:r>
      <w:r w:rsidRPr="000C7102">
        <w:rPr>
          <w:rFonts w:asciiTheme="minorHAnsi" w:hAnsiTheme="minorHAnsi"/>
        </w:rPr>
        <w:t xml:space="preserve"> 2016; 4: 28</w:t>
      </w:r>
    </w:p>
  </w:endnote>
  <w:endnote w:id="16">
    <w:p w14:paraId="3D48F78A" w14:textId="776FB1F1"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McEwen J, Huttunen KTH. Transfusion practice in neuroanaesthesia. </w:t>
      </w:r>
      <w:r w:rsidRPr="000C7102">
        <w:rPr>
          <w:rFonts w:asciiTheme="minorHAnsi" w:hAnsiTheme="minorHAnsi"/>
          <w:i/>
        </w:rPr>
        <w:t xml:space="preserve">Curr Opin Anaesthesiol </w:t>
      </w:r>
      <w:r w:rsidRPr="000C7102">
        <w:rPr>
          <w:rFonts w:asciiTheme="minorHAnsi" w:hAnsiTheme="minorHAnsi"/>
        </w:rPr>
        <w:t>2009; 22: 566-71</w:t>
      </w:r>
    </w:p>
  </w:endnote>
  <w:endnote w:id="17">
    <w:p w14:paraId="787CB0E8" w14:textId="67E81237"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Blood transfusion. </w:t>
      </w:r>
      <w:r w:rsidRPr="000C7102">
        <w:rPr>
          <w:rFonts w:asciiTheme="minorHAnsi" w:hAnsiTheme="minorHAnsi"/>
          <w:i/>
        </w:rPr>
        <w:t>NICE</w:t>
      </w:r>
      <w:r w:rsidRPr="000C7102">
        <w:rPr>
          <w:rFonts w:asciiTheme="minorHAnsi" w:hAnsiTheme="minorHAnsi"/>
        </w:rPr>
        <w:t>, 2015 (</w:t>
      </w:r>
      <w:hyperlink r:id="rId7" w:history="1">
        <w:r w:rsidRPr="000C7102">
          <w:rPr>
            <w:rStyle w:val="Hyperlink"/>
            <w:rFonts w:asciiTheme="minorHAnsi" w:hAnsiTheme="minorHAnsi"/>
          </w:rPr>
          <w:t>bit.ly/2p7UvTu</w:t>
        </w:r>
      </w:hyperlink>
      <w:r w:rsidRPr="000C7102">
        <w:rPr>
          <w:rFonts w:asciiTheme="minorHAnsi" w:hAnsiTheme="minorHAnsi"/>
        </w:rPr>
        <w:t>)</w:t>
      </w:r>
    </w:p>
  </w:endnote>
  <w:endnote w:id="18">
    <w:p w14:paraId="64406C58" w14:textId="4438103C"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Ellenburger C, Garofano N, Barcelos G, Diaper J, Pavlovic G, Licker M. Assessment of Haemostasis in patients undergoing emergent neurosurgery by rotational elastometry and standard coagulation tests: a prospective observational study. </w:t>
      </w:r>
      <w:r w:rsidRPr="000C7102">
        <w:rPr>
          <w:rFonts w:asciiTheme="minorHAnsi" w:hAnsiTheme="minorHAnsi"/>
          <w:i/>
        </w:rPr>
        <w:t>BMC Anesthesiology</w:t>
      </w:r>
      <w:r w:rsidRPr="000C7102">
        <w:rPr>
          <w:rFonts w:asciiTheme="minorHAnsi" w:hAnsiTheme="minorHAnsi"/>
        </w:rPr>
        <w:t xml:space="preserve"> 2017; 17: 146</w:t>
      </w:r>
    </w:p>
  </w:endnote>
  <w:endnote w:id="19">
    <w:p w14:paraId="49228114" w14:textId="304C5AC5"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Gandhe RU, Bhave CP. Intraoperative magnetic resonance imaging for neurosurgery - an anaesthesiologist's challenge. Indian Journal of Anaesthesia 2018; 62: 411-7</w:t>
      </w:r>
    </w:p>
  </w:endnote>
  <w:endnote w:id="20">
    <w:p w14:paraId="33ECF4B4" w14:textId="0D30F03A"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NAP3 – Accidental awareness during general anaesthesia in the United Kingdom and Ireland. The 3rd National Audit Project of the Royal College of Anaesthetists (NAP5). </w:t>
      </w:r>
      <w:r w:rsidRPr="000C7102">
        <w:rPr>
          <w:rFonts w:asciiTheme="minorHAnsi" w:hAnsiTheme="minorHAnsi"/>
          <w:i/>
        </w:rPr>
        <w:t>RCoA</w:t>
      </w:r>
      <w:r w:rsidRPr="000C7102">
        <w:rPr>
          <w:rFonts w:asciiTheme="minorHAnsi" w:hAnsiTheme="minorHAnsi"/>
        </w:rPr>
        <w:t>, London 2014 (</w:t>
      </w:r>
      <w:hyperlink r:id="rId8" w:history="1">
        <w:r w:rsidRPr="000C7102">
          <w:rPr>
            <w:rStyle w:val="Hyperlink"/>
            <w:rFonts w:asciiTheme="minorHAnsi" w:hAnsiTheme="minorHAnsi"/>
          </w:rPr>
          <w:t>bit.ly/1vI8Y60</w:t>
        </w:r>
      </w:hyperlink>
      <w:r w:rsidRPr="000C7102">
        <w:rPr>
          <w:rFonts w:asciiTheme="minorHAnsi" w:hAnsiTheme="minorHAnsi"/>
        </w:rPr>
        <w:t>)</w:t>
      </w:r>
    </w:p>
  </w:endnote>
  <w:endnote w:id="21">
    <w:p w14:paraId="24746027" w14:textId="02232D86"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Association of Anaesthetists of Great Britain and Ireland. Immediate post-anaesthesia recovery 2013. </w:t>
      </w:r>
      <w:r w:rsidRPr="000C7102">
        <w:rPr>
          <w:rFonts w:asciiTheme="minorHAnsi" w:hAnsiTheme="minorHAnsi"/>
          <w:i/>
        </w:rPr>
        <w:t>Anaesth</w:t>
      </w:r>
      <w:r w:rsidRPr="000C7102">
        <w:rPr>
          <w:rFonts w:asciiTheme="minorHAnsi" w:hAnsiTheme="minorHAnsi"/>
        </w:rPr>
        <w:t xml:space="preserve"> 2013; 68: 288-97</w:t>
      </w:r>
    </w:p>
  </w:endnote>
  <w:endnote w:id="22">
    <w:p w14:paraId="1F998BF1" w14:textId="0E27298F"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CCT in anaesthetics – advanced level training (Annex E). </w:t>
      </w:r>
      <w:r w:rsidRPr="000C7102">
        <w:rPr>
          <w:rFonts w:asciiTheme="minorHAnsi" w:hAnsiTheme="minorHAnsi"/>
          <w:i/>
        </w:rPr>
        <w:t>RCoA,</w:t>
      </w:r>
      <w:r w:rsidRPr="000C7102">
        <w:rPr>
          <w:rFonts w:asciiTheme="minorHAnsi" w:hAnsiTheme="minorHAnsi"/>
        </w:rPr>
        <w:t xml:space="preserve"> 2010 (</w:t>
      </w:r>
      <w:hyperlink r:id="rId9" w:history="1">
        <w:r w:rsidRPr="000C7102">
          <w:rPr>
            <w:rStyle w:val="Hyperlink"/>
            <w:rFonts w:asciiTheme="minorHAnsi" w:hAnsiTheme="minorHAnsi"/>
          </w:rPr>
          <w:t>bit.ly/2pgjhAX</w:t>
        </w:r>
      </w:hyperlink>
      <w:r w:rsidRPr="000C7102">
        <w:rPr>
          <w:rFonts w:asciiTheme="minorHAnsi" w:hAnsiTheme="minorHAnsi"/>
        </w:rPr>
        <w:t>)</w:t>
      </w:r>
    </w:p>
  </w:endnote>
  <w:endnote w:id="23">
    <w:p w14:paraId="609A52DF" w14:textId="192DB0C5"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ab/>
        <w:t xml:space="preserve">Joint statement from the Society of British Neurological Surgeons and the Royal College of Anaesthetists regarding the provision of emergency paediatric neurosurgical services. </w:t>
      </w:r>
      <w:r w:rsidRPr="000C7102">
        <w:rPr>
          <w:rFonts w:asciiTheme="minorHAnsi" w:hAnsiTheme="minorHAnsi"/>
          <w:i/>
          <w:iCs/>
        </w:rPr>
        <w:t>RCoA</w:t>
      </w:r>
      <w:r w:rsidRPr="000C7102">
        <w:rPr>
          <w:rFonts w:asciiTheme="minorHAnsi" w:hAnsiTheme="minorHAnsi"/>
        </w:rPr>
        <w:t>, 2010 (</w:t>
      </w:r>
      <w:hyperlink r:id="rId10" w:history="1">
        <w:r w:rsidRPr="000C7102">
          <w:rPr>
            <w:rStyle w:val="Hyperlink"/>
            <w:rFonts w:asciiTheme="minorHAnsi" w:hAnsiTheme="minorHAnsi"/>
          </w:rPr>
          <w:t>bit.ly/2paCfss</w:t>
        </w:r>
      </w:hyperlink>
      <w:r w:rsidRPr="000C7102">
        <w:rPr>
          <w:rFonts w:asciiTheme="minorHAnsi" w:hAnsiTheme="minorHAnsi"/>
        </w:rPr>
        <w:t>)</w:t>
      </w:r>
    </w:p>
  </w:endnote>
  <w:endnote w:id="24">
    <w:p w14:paraId="1B6A294E" w14:textId="1C8DB941"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Management of cardiac arrest during neurosurgery in adults. </w:t>
      </w:r>
      <w:r w:rsidRPr="000C7102">
        <w:rPr>
          <w:rFonts w:asciiTheme="minorHAnsi" w:hAnsiTheme="minorHAnsi"/>
          <w:i/>
        </w:rPr>
        <w:t>RC (UK),</w:t>
      </w:r>
      <w:r w:rsidRPr="000C7102">
        <w:rPr>
          <w:rFonts w:asciiTheme="minorHAnsi" w:hAnsiTheme="minorHAnsi"/>
        </w:rPr>
        <w:t xml:space="preserve"> 2014 (</w:t>
      </w:r>
      <w:hyperlink r:id="rId11" w:history="1">
        <w:r w:rsidRPr="000C7102">
          <w:rPr>
            <w:rStyle w:val="Hyperlink"/>
            <w:rFonts w:asciiTheme="minorHAnsi" w:hAnsiTheme="minorHAnsi"/>
          </w:rPr>
          <w:t>bit.ly/2vLskOZ</w:t>
        </w:r>
      </w:hyperlink>
      <w:r w:rsidRPr="000C7102">
        <w:rPr>
          <w:rFonts w:asciiTheme="minorHAnsi" w:hAnsiTheme="minorHAnsi"/>
        </w:rPr>
        <w:t>)</w:t>
      </w:r>
    </w:p>
  </w:endnote>
  <w:endnote w:id="25">
    <w:p w14:paraId="52BF4537" w14:textId="4E0AEB5F"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Mercer SJ, Guha A, Ramesh VJ. The P-POSSUM scoring system for predicting the mortality of neurosurgical patients undergoing craniotomy: further validation of usefulness and application across healthcare systems. </w:t>
      </w:r>
      <w:r w:rsidRPr="000C7102">
        <w:rPr>
          <w:rFonts w:asciiTheme="minorHAnsi" w:hAnsiTheme="minorHAnsi"/>
          <w:i/>
        </w:rPr>
        <w:t>Indian J Anaesth</w:t>
      </w:r>
      <w:r w:rsidRPr="000C7102">
        <w:rPr>
          <w:rFonts w:asciiTheme="minorHAnsi" w:hAnsiTheme="minorHAnsi"/>
        </w:rPr>
        <w:t xml:space="preserve"> 2013; 57: 587-91</w:t>
      </w:r>
    </w:p>
  </w:endnote>
  <w:endnote w:id="26">
    <w:p w14:paraId="0ECF2B72" w14:textId="324B50F5"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Nguyen-Lu N, Reddy U, Luoma A. To prone or not to prone? What are we telling our patients? An audit on documentation of consent for prone positioning during neurosurgery. </w:t>
      </w:r>
      <w:r w:rsidRPr="000C7102">
        <w:rPr>
          <w:rFonts w:asciiTheme="minorHAnsi" w:hAnsiTheme="minorHAnsi"/>
          <w:i/>
        </w:rPr>
        <w:t>J Neurosur Anesthesiol</w:t>
      </w:r>
      <w:r w:rsidRPr="000C7102">
        <w:rPr>
          <w:rFonts w:asciiTheme="minorHAnsi" w:hAnsiTheme="minorHAnsi"/>
        </w:rPr>
        <w:t xml:space="preserve"> 2012; 24: 495</w:t>
      </w:r>
    </w:p>
  </w:endnote>
  <w:endnote w:id="27">
    <w:p w14:paraId="14B55419" w14:textId="7CD2DD84"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Hawkins J. Consent &amp; prone positioning in neuroanaesthesia: a survey of practice in a tertiary referral centre. </w:t>
      </w:r>
      <w:r w:rsidRPr="000C7102">
        <w:rPr>
          <w:rFonts w:asciiTheme="minorHAnsi" w:hAnsiTheme="minorHAnsi"/>
          <w:i/>
        </w:rPr>
        <w:t>Anaesthesia</w:t>
      </w:r>
      <w:r w:rsidRPr="000C7102">
        <w:rPr>
          <w:rFonts w:asciiTheme="minorHAnsi" w:hAnsiTheme="minorHAnsi"/>
        </w:rPr>
        <w:t xml:space="preserve"> 2018; 73 (suppl 3): 101</w:t>
      </w:r>
    </w:p>
  </w:endnote>
  <w:endnote w:id="28">
    <w:p w14:paraId="6F016324" w14:textId="56971720"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Tewari A, Castle J, Frye T, Taylor T, Schaiper L, Mahmoud M. Intraoperative neurophysiological monitoring team's communique with anesthesia professionals. Clinical Neurophysiology 2018; 129 (suppl 1): e182-3</w:t>
      </w:r>
    </w:p>
  </w:endnote>
  <w:endnote w:id="29">
    <w:p w14:paraId="1E1A1BC6" w14:textId="3D47A4AC"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Tewari A, Francis L, Samy RN </w:t>
      </w:r>
      <w:r w:rsidRPr="000C7102">
        <w:rPr>
          <w:rFonts w:asciiTheme="minorHAnsi" w:hAnsiTheme="minorHAnsi"/>
          <w:i/>
        </w:rPr>
        <w:t>et al.</w:t>
      </w:r>
      <w:r w:rsidRPr="000C7102">
        <w:rPr>
          <w:rFonts w:asciiTheme="minorHAnsi" w:hAnsiTheme="minorHAnsi"/>
        </w:rPr>
        <w:t xml:space="preserve"> Intraoperative neurophysiological monitoring team's communique with anesthesia professionals. </w:t>
      </w:r>
      <w:r w:rsidRPr="000C7102">
        <w:rPr>
          <w:rFonts w:asciiTheme="minorHAnsi" w:hAnsiTheme="minorHAnsi"/>
          <w:i/>
        </w:rPr>
        <w:t>J Anaesthesiol Clin Pharmacol. 2018</w:t>
      </w:r>
      <w:r w:rsidRPr="000C7102">
        <w:rPr>
          <w:rFonts w:asciiTheme="minorHAnsi" w:hAnsiTheme="minorHAnsi"/>
        </w:rPr>
        <w:t>; 34: 84-93</w:t>
      </w:r>
    </w:p>
  </w:endnote>
  <w:endnote w:id="30">
    <w:p w14:paraId="3CC26D6F" w14:textId="3FE0E52B"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Implementation manual surgical safety checklist (first edition): safe surgery saves lives. </w:t>
      </w:r>
      <w:r w:rsidRPr="000C7102">
        <w:rPr>
          <w:rFonts w:asciiTheme="minorHAnsi" w:hAnsiTheme="minorHAnsi"/>
          <w:i/>
        </w:rPr>
        <w:t>World Alliance for Patient Safety, WHO</w:t>
      </w:r>
      <w:r w:rsidRPr="000C7102">
        <w:rPr>
          <w:rFonts w:asciiTheme="minorHAnsi" w:hAnsiTheme="minorHAnsi"/>
        </w:rPr>
        <w:t>, 2008 (</w:t>
      </w:r>
      <w:hyperlink r:id="rId12" w:history="1">
        <w:r w:rsidRPr="000C7102">
          <w:rPr>
            <w:rStyle w:val="Hyperlink"/>
            <w:rFonts w:asciiTheme="minorHAnsi" w:hAnsiTheme="minorHAnsi"/>
          </w:rPr>
          <w:t>bit.ly/1cQ6tkS</w:t>
        </w:r>
      </w:hyperlink>
      <w:r w:rsidRPr="000C7102">
        <w:rPr>
          <w:rFonts w:asciiTheme="minorHAnsi" w:hAnsiTheme="minorHAnsi"/>
        </w:rPr>
        <w:t>)</w:t>
      </w:r>
    </w:p>
  </w:endnote>
  <w:endnote w:id="31">
    <w:p w14:paraId="09ED1DEF" w14:textId="03D621E9"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National safety standards for invasive procedures (NatSSIPs). </w:t>
      </w:r>
      <w:r w:rsidRPr="000C7102">
        <w:rPr>
          <w:rFonts w:asciiTheme="minorHAnsi" w:hAnsiTheme="minorHAnsi"/>
          <w:i/>
        </w:rPr>
        <w:t>NHSE</w:t>
      </w:r>
      <w:r w:rsidRPr="000C7102">
        <w:rPr>
          <w:rFonts w:asciiTheme="minorHAnsi" w:hAnsiTheme="minorHAnsi"/>
        </w:rPr>
        <w:t>, 2015 (</w:t>
      </w:r>
      <w:hyperlink r:id="rId13" w:history="1">
        <w:r w:rsidRPr="000C7102">
          <w:rPr>
            <w:rStyle w:val="Hyperlink"/>
            <w:rFonts w:asciiTheme="minorHAnsi" w:hAnsiTheme="minorHAnsi"/>
          </w:rPr>
          <w:t>bit.ly/1K6fRY2</w:t>
        </w:r>
      </w:hyperlink>
      <w:r w:rsidRPr="000C7102">
        <w:rPr>
          <w:rFonts w:asciiTheme="minorHAnsi" w:hAnsiTheme="minorHAnsi"/>
        </w:rPr>
        <w:t>)</w:t>
      </w:r>
    </w:p>
  </w:endnote>
  <w:endnote w:id="32">
    <w:p w14:paraId="68A20ECC" w14:textId="36788183"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Scottish Patient Safety Programme (</w:t>
      </w:r>
      <w:hyperlink r:id="rId14" w:history="1">
        <w:r w:rsidRPr="000C7102">
          <w:rPr>
            <w:rStyle w:val="Hyperlink"/>
            <w:rFonts w:asciiTheme="minorHAnsi" w:hAnsiTheme="minorHAnsi"/>
          </w:rPr>
          <w:t>bit.ly/2lkzPTb</w:t>
        </w:r>
      </w:hyperlink>
      <w:r w:rsidRPr="000C7102">
        <w:rPr>
          <w:rFonts w:asciiTheme="minorHAnsi" w:hAnsiTheme="minorHAnsi"/>
        </w:rPr>
        <w:t>)</w:t>
      </w:r>
    </w:p>
  </w:endnote>
  <w:endnote w:id="33">
    <w:p w14:paraId="2C1E920F" w14:textId="38792F7D" w:rsidR="00A14E0A" w:rsidRPr="000C7102" w:rsidRDefault="00A14E0A" w:rsidP="000C7102">
      <w:pPr>
        <w:pStyle w:val="References"/>
        <w:rPr>
          <w:rFonts w:asciiTheme="minorHAnsi" w:hAnsiTheme="minorHAnsi"/>
          <w:b/>
          <w:color w:val="FF0000"/>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Guidelines for the transport of the critically ill adult (3rd edition). </w:t>
      </w:r>
      <w:r w:rsidRPr="000C7102">
        <w:rPr>
          <w:rFonts w:asciiTheme="minorHAnsi" w:hAnsiTheme="minorHAnsi"/>
          <w:i/>
          <w:iCs/>
        </w:rPr>
        <w:t>ICS</w:t>
      </w:r>
      <w:r w:rsidRPr="000C7102">
        <w:rPr>
          <w:rFonts w:asciiTheme="minorHAnsi" w:hAnsiTheme="minorHAnsi"/>
        </w:rPr>
        <w:t>, 2011 (</w:t>
      </w:r>
      <w:hyperlink r:id="rId15" w:history="1">
        <w:r w:rsidRPr="000C7102">
          <w:rPr>
            <w:rStyle w:val="Hyperlink"/>
            <w:rFonts w:asciiTheme="minorHAnsi" w:hAnsiTheme="minorHAnsi"/>
          </w:rPr>
          <w:t>bit.ly/2jDj4lz</w:t>
        </w:r>
      </w:hyperlink>
      <w:r w:rsidRPr="000C7102">
        <w:rPr>
          <w:rFonts w:asciiTheme="minorHAnsi" w:hAnsiTheme="minorHAnsi"/>
        </w:rPr>
        <w:t>)</w:t>
      </w:r>
    </w:p>
  </w:endnote>
  <w:endnote w:id="34">
    <w:p w14:paraId="2BD61D25" w14:textId="67E47444"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Olm-Shipman C, Yagoda D, Tehan T </w:t>
      </w:r>
      <w:r w:rsidRPr="000C7102">
        <w:rPr>
          <w:rFonts w:asciiTheme="minorHAnsi" w:hAnsiTheme="minorHAnsi"/>
          <w:i/>
        </w:rPr>
        <w:t>et al.</w:t>
      </w:r>
      <w:r w:rsidRPr="000C7102">
        <w:rPr>
          <w:rFonts w:asciiTheme="minorHAnsi" w:hAnsiTheme="minorHAnsi"/>
        </w:rPr>
        <w:t xml:space="preserve"> Improving communication during patient transfers between the operating room and neuroscience intensive care unit. </w:t>
      </w:r>
      <w:r w:rsidRPr="000C7102">
        <w:rPr>
          <w:rFonts w:asciiTheme="minorHAnsi" w:hAnsiTheme="minorHAnsi"/>
          <w:i/>
        </w:rPr>
        <w:t>Neurocrit Care</w:t>
      </w:r>
      <w:r w:rsidRPr="000C7102">
        <w:rPr>
          <w:rFonts w:asciiTheme="minorHAnsi" w:hAnsiTheme="minorHAnsi"/>
        </w:rPr>
        <w:t xml:space="preserve"> 2011;14(S1):S196</w:t>
      </w:r>
    </w:p>
  </w:endnote>
  <w:endnote w:id="35">
    <w:p w14:paraId="5028EA29" w14:textId="63C1998A"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Guidelines for the provision of postoperative care. </w:t>
      </w:r>
      <w:r w:rsidRPr="000C7102">
        <w:rPr>
          <w:rFonts w:asciiTheme="minorHAnsi" w:hAnsiTheme="minorHAnsi"/>
          <w:i/>
        </w:rPr>
        <w:t>RCoA</w:t>
      </w:r>
      <w:r w:rsidRPr="000C7102">
        <w:rPr>
          <w:rFonts w:asciiTheme="minorHAnsi" w:hAnsiTheme="minorHAnsi"/>
        </w:rPr>
        <w:t>, 2019</w:t>
      </w:r>
    </w:p>
  </w:endnote>
  <w:endnote w:id="36">
    <w:p w14:paraId="4CABF8F1" w14:textId="4B5805E8"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Le C, Guppy KH, Axelrod YV </w:t>
      </w:r>
      <w:r w:rsidRPr="000C7102">
        <w:rPr>
          <w:rFonts w:asciiTheme="minorHAnsi" w:hAnsiTheme="minorHAnsi"/>
          <w:i/>
        </w:rPr>
        <w:t>et al.</w:t>
      </w:r>
      <w:r w:rsidRPr="000C7102">
        <w:rPr>
          <w:rFonts w:asciiTheme="minorHAnsi" w:hAnsiTheme="minorHAnsi"/>
        </w:rPr>
        <w:t xml:space="preserve"> Lower complication rates for cranioplasty with peri-operative bundle. </w:t>
      </w:r>
      <w:r w:rsidRPr="000C7102">
        <w:rPr>
          <w:rFonts w:asciiTheme="minorHAnsi" w:hAnsiTheme="minorHAnsi"/>
          <w:i/>
        </w:rPr>
        <w:t>Clin Neurol Neurosurg</w:t>
      </w:r>
      <w:r w:rsidRPr="000C7102">
        <w:rPr>
          <w:rFonts w:asciiTheme="minorHAnsi" w:hAnsiTheme="minorHAnsi"/>
        </w:rPr>
        <w:t xml:space="preserve"> 2013; 120: 41-4</w:t>
      </w:r>
    </w:p>
  </w:endnote>
  <w:endnote w:id="37">
    <w:p w14:paraId="7C7A0B6A" w14:textId="1469A73A"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Kotak D, Cheserem B, Solth A. A survey of post-craniotomy analgesia in British neurosurgical centres: time for perceptions and prescribing to change? </w:t>
      </w:r>
      <w:r w:rsidRPr="000C7102">
        <w:rPr>
          <w:rFonts w:asciiTheme="minorHAnsi" w:hAnsiTheme="minorHAnsi"/>
          <w:i/>
        </w:rPr>
        <w:t>Br J Neurosurg</w:t>
      </w:r>
      <w:r w:rsidRPr="000C7102">
        <w:rPr>
          <w:rFonts w:asciiTheme="minorHAnsi" w:hAnsiTheme="minorHAnsi"/>
        </w:rPr>
        <w:t xml:space="preserve"> 2009; 23: 538-42</w:t>
      </w:r>
    </w:p>
  </w:endnote>
  <w:endnote w:id="38">
    <w:p w14:paraId="7114E7DA" w14:textId="291B584D"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Leslie K, Troedel S, Irwin K </w:t>
      </w:r>
      <w:r w:rsidRPr="000C7102">
        <w:rPr>
          <w:rFonts w:asciiTheme="minorHAnsi" w:hAnsiTheme="minorHAnsi"/>
          <w:i/>
        </w:rPr>
        <w:t>et al.</w:t>
      </w:r>
      <w:r w:rsidRPr="000C7102">
        <w:rPr>
          <w:rFonts w:asciiTheme="minorHAnsi" w:hAnsiTheme="minorHAnsi"/>
        </w:rPr>
        <w:t xml:space="preserve"> Quality of recovery from anesthesia in neurosurgical patients. </w:t>
      </w:r>
      <w:r w:rsidRPr="000C7102">
        <w:rPr>
          <w:rFonts w:asciiTheme="minorHAnsi" w:hAnsiTheme="minorHAnsi"/>
          <w:i/>
        </w:rPr>
        <w:t>Anesthesiol</w:t>
      </w:r>
      <w:r w:rsidRPr="000C7102">
        <w:rPr>
          <w:rFonts w:asciiTheme="minorHAnsi" w:hAnsiTheme="minorHAnsi"/>
        </w:rPr>
        <w:t xml:space="preserve"> 2003; 99: 1158-65</w:t>
      </w:r>
    </w:p>
  </w:endnote>
  <w:endnote w:id="39">
    <w:p w14:paraId="4A0F8A42" w14:textId="7361E00F"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Guilfoyle MR, Helmy A, Duane D, Hutchinson PJ. Regional scalp block for postcraniotomy analgesia: a systematic review and meta-analysis. </w:t>
      </w:r>
      <w:r w:rsidRPr="000C7102">
        <w:rPr>
          <w:rFonts w:asciiTheme="minorHAnsi" w:hAnsiTheme="minorHAnsi"/>
          <w:i/>
        </w:rPr>
        <w:t>Anesth Analg</w:t>
      </w:r>
      <w:r w:rsidRPr="000C7102">
        <w:rPr>
          <w:rFonts w:asciiTheme="minorHAnsi" w:hAnsiTheme="minorHAnsi"/>
        </w:rPr>
        <w:t xml:space="preserve"> 2013; 116: 1093-102</w:t>
      </w:r>
    </w:p>
  </w:endnote>
  <w:endnote w:id="40">
    <w:p w14:paraId="7CE21B1F" w14:textId="72921491"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Holland CM, Lovasik BP, Howard BM, McCLure EW, Samuels OB, Barrow DL. Interhospital transfer of neurosurgical patients: implications of timing on hospital course and clinical outcomes. </w:t>
      </w:r>
      <w:r w:rsidRPr="000C7102">
        <w:rPr>
          <w:rFonts w:asciiTheme="minorHAnsi" w:hAnsiTheme="minorHAnsi"/>
          <w:i/>
        </w:rPr>
        <w:t xml:space="preserve">Neurosurgery </w:t>
      </w:r>
      <w:r w:rsidRPr="000C7102">
        <w:rPr>
          <w:rFonts w:asciiTheme="minorHAnsi" w:hAnsiTheme="minorHAnsi"/>
        </w:rPr>
        <w:t>2017; 81: 450-7</w:t>
      </w:r>
    </w:p>
  </w:endnote>
  <w:endnote w:id="41">
    <w:p w14:paraId="5137EDC0" w14:textId="5D24A4A3" w:rsidR="00A14E0A" w:rsidRPr="000C7102" w:rsidRDefault="00A14E0A" w:rsidP="000C7102">
      <w:pPr>
        <w:pStyle w:val="References"/>
        <w:rPr>
          <w:rFonts w:asciiTheme="minorHAnsi" w:hAnsiTheme="minorHAnsi"/>
          <w:lang w:val="fr-FR"/>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Cowman S Hardy P, Taylor C, Wilson SR</w:t>
      </w:r>
      <w:r w:rsidRPr="000C7102">
        <w:rPr>
          <w:rFonts w:asciiTheme="minorHAnsi" w:hAnsiTheme="minorHAnsi"/>
          <w:i/>
        </w:rPr>
        <w:t>.</w:t>
      </w:r>
      <w:r w:rsidRPr="000C7102">
        <w:rPr>
          <w:rFonts w:asciiTheme="minorHAnsi" w:hAnsiTheme="minorHAnsi"/>
        </w:rPr>
        <w:t xml:space="preserve"> Can quality be measured in neuroanaesthesia? </w:t>
      </w:r>
      <w:r w:rsidRPr="000C7102">
        <w:rPr>
          <w:rFonts w:asciiTheme="minorHAnsi" w:hAnsiTheme="minorHAnsi"/>
          <w:i/>
          <w:lang w:val="fr-FR"/>
        </w:rPr>
        <w:t>Eur J Anaesthesiol</w:t>
      </w:r>
      <w:r w:rsidRPr="000C7102">
        <w:rPr>
          <w:rFonts w:asciiTheme="minorHAnsi" w:hAnsiTheme="minorHAnsi"/>
          <w:lang w:val="fr-FR"/>
        </w:rPr>
        <w:t xml:space="preserve"> 2012; 29S: 19–20</w:t>
      </w:r>
    </w:p>
  </w:endnote>
  <w:endnote w:id="42">
    <w:p w14:paraId="0C0884A3" w14:textId="449F8D1E"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Neufeld SM, Newburn-Cook CV. What are the risk factors for nausea and vomiting after neurosurgery? A systematic review. </w:t>
      </w:r>
      <w:r w:rsidRPr="000C7102">
        <w:rPr>
          <w:rFonts w:asciiTheme="minorHAnsi" w:hAnsiTheme="minorHAnsi"/>
          <w:i/>
        </w:rPr>
        <w:t>Can J Neurosci Nurs</w:t>
      </w:r>
      <w:r w:rsidRPr="000C7102">
        <w:rPr>
          <w:rFonts w:asciiTheme="minorHAnsi" w:hAnsiTheme="minorHAnsi"/>
        </w:rPr>
        <w:t xml:space="preserve"> 2008; 30: 23-34</w:t>
      </w:r>
    </w:p>
  </w:endnote>
  <w:endnote w:id="43">
    <w:p w14:paraId="132D3030" w14:textId="43F3879E" w:rsidR="00A14E0A" w:rsidRPr="000C7102" w:rsidRDefault="00A14E0A" w:rsidP="000C7102">
      <w:pPr>
        <w:pStyle w:val="References"/>
        <w:rPr>
          <w:rFonts w:asciiTheme="minorHAnsi" w:hAnsiTheme="minorHAnsi"/>
          <w:lang w:val="en-GB"/>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Guidelines for the provision of anaesthesia services for preoperative assessment and preparation. RCoA, 2019</w:t>
      </w:r>
    </w:p>
  </w:endnote>
  <w:endnote w:id="44">
    <w:p w14:paraId="3DD52866" w14:textId="5E57690A"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Safe sedation practice for healthcare procedures: standards and guidance. </w:t>
      </w:r>
      <w:r w:rsidRPr="000C7102">
        <w:rPr>
          <w:rFonts w:asciiTheme="minorHAnsi" w:hAnsiTheme="minorHAnsi"/>
          <w:i/>
        </w:rPr>
        <w:t>AoMRC</w:t>
      </w:r>
      <w:r w:rsidRPr="000C7102">
        <w:rPr>
          <w:rFonts w:asciiTheme="minorHAnsi" w:hAnsiTheme="minorHAnsi"/>
        </w:rPr>
        <w:t>, 2013 (</w:t>
      </w:r>
      <w:hyperlink r:id="rId16" w:history="1">
        <w:r w:rsidRPr="000C7102">
          <w:rPr>
            <w:rStyle w:val="Hyperlink"/>
            <w:rFonts w:asciiTheme="minorHAnsi" w:hAnsiTheme="minorHAnsi"/>
          </w:rPr>
          <w:t>bit.ly/2cFQKQN</w:t>
        </w:r>
      </w:hyperlink>
      <w:r w:rsidRPr="000C7102">
        <w:rPr>
          <w:rFonts w:asciiTheme="minorHAnsi" w:hAnsiTheme="minorHAnsi"/>
        </w:rPr>
        <w:t>)</w:t>
      </w:r>
    </w:p>
  </w:endnote>
  <w:endnote w:id="45">
    <w:p w14:paraId="357B99F6" w14:textId="677B35BB"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Association of Anaesthetists of Great Britain and Ireland. Consent for anaesthesia. </w:t>
      </w:r>
      <w:r w:rsidRPr="000C7102">
        <w:rPr>
          <w:rFonts w:asciiTheme="minorHAnsi" w:hAnsiTheme="minorHAnsi"/>
          <w:i/>
        </w:rPr>
        <w:t xml:space="preserve">Anaesth </w:t>
      </w:r>
      <w:r w:rsidRPr="000C7102">
        <w:rPr>
          <w:rFonts w:asciiTheme="minorHAnsi" w:hAnsiTheme="minorHAnsi"/>
        </w:rPr>
        <w:t>2017; 72: 93-105</w:t>
      </w:r>
    </w:p>
  </w:endnote>
  <w:endnote w:id="46">
    <w:p w14:paraId="61CE4217" w14:textId="24E5EFEC"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Mental Capacity Act 2005. </w:t>
      </w:r>
      <w:r w:rsidRPr="000C7102">
        <w:rPr>
          <w:rFonts w:asciiTheme="minorHAnsi" w:hAnsiTheme="minorHAnsi"/>
          <w:i/>
        </w:rPr>
        <w:t>HMSO</w:t>
      </w:r>
      <w:r w:rsidRPr="000C7102">
        <w:rPr>
          <w:rFonts w:asciiTheme="minorHAnsi" w:hAnsiTheme="minorHAnsi"/>
        </w:rPr>
        <w:t>, 2005 (</w:t>
      </w:r>
      <w:hyperlink r:id="rId17" w:history="1">
        <w:r w:rsidRPr="000C7102">
          <w:rPr>
            <w:rStyle w:val="Hyperlink"/>
            <w:rFonts w:asciiTheme="minorHAnsi" w:hAnsiTheme="minorHAnsi"/>
          </w:rPr>
          <w:t>bit.ly/1Hz3HDZ</w:t>
        </w:r>
      </w:hyperlink>
      <w:r w:rsidRPr="000C7102">
        <w:rPr>
          <w:rFonts w:asciiTheme="minorHAnsi" w:hAnsiTheme="minorHAnsi"/>
        </w:rPr>
        <w:t>)</w:t>
      </w:r>
    </w:p>
  </w:endnote>
  <w:endnote w:id="47">
    <w:p w14:paraId="40CA5063" w14:textId="2F3DFB9A"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 xml:space="preserve">Adult With Incapacity (Scotland) Act 2000. </w:t>
      </w:r>
      <w:r w:rsidRPr="000C7102">
        <w:rPr>
          <w:rFonts w:asciiTheme="minorHAnsi" w:hAnsiTheme="minorHAnsi"/>
          <w:i/>
        </w:rPr>
        <w:t>HMSO</w:t>
      </w:r>
      <w:r w:rsidRPr="000C7102">
        <w:rPr>
          <w:rFonts w:asciiTheme="minorHAnsi" w:hAnsiTheme="minorHAnsi"/>
        </w:rPr>
        <w:t>, 2000 (</w:t>
      </w:r>
      <w:hyperlink r:id="rId18" w:history="1">
        <w:r w:rsidRPr="000C7102">
          <w:rPr>
            <w:rStyle w:val="Hyperlink"/>
            <w:rFonts w:asciiTheme="minorHAnsi" w:hAnsiTheme="minorHAnsi"/>
          </w:rPr>
          <w:t>bit.ly/1ntNhpO</w:t>
        </w:r>
      </w:hyperlink>
      <w:r w:rsidRPr="000C7102">
        <w:rPr>
          <w:rFonts w:asciiTheme="minorHAnsi" w:hAnsiTheme="minorHAnsi"/>
        </w:rPr>
        <w:t>)</w:t>
      </w:r>
    </w:p>
  </w:endnote>
  <w:endnote w:id="48">
    <w:p w14:paraId="2C7AAC40" w14:textId="0C3FDD92" w:rsidR="00A14E0A" w:rsidRPr="000C7102" w:rsidRDefault="00A14E0A" w:rsidP="000C7102">
      <w:pPr>
        <w:pStyle w:val="References"/>
        <w:rPr>
          <w:rFonts w:asciiTheme="minorHAnsi" w:hAnsiTheme="minorHAnsi"/>
        </w:rPr>
      </w:pPr>
      <w:r w:rsidRPr="000C7102">
        <w:rPr>
          <w:rStyle w:val="EndnoteReference"/>
          <w:rFonts w:asciiTheme="minorHAnsi" w:hAnsiTheme="minorHAnsi"/>
          <w:vertAlign w:val="baseline"/>
        </w:rPr>
        <w:endnoteRef/>
      </w:r>
      <w:r w:rsidRPr="000C7102">
        <w:rPr>
          <w:rFonts w:asciiTheme="minorHAnsi" w:hAnsiTheme="minorHAnsi"/>
        </w:rPr>
        <w:t xml:space="preserve"> </w:t>
      </w:r>
      <w:r w:rsidRPr="000C7102">
        <w:rPr>
          <w:rFonts w:asciiTheme="minorHAnsi" w:hAnsiTheme="minorHAnsi"/>
        </w:rPr>
        <w:tab/>
        <w:t>Mental Capacity Act (Northern Ireland) 2016 (</w:t>
      </w:r>
      <w:hyperlink r:id="rId19" w:history="1">
        <w:r w:rsidRPr="000C7102">
          <w:rPr>
            <w:rStyle w:val="Hyperlink"/>
            <w:rFonts w:asciiTheme="minorHAnsi" w:hAnsiTheme="minorHAnsi"/>
          </w:rPr>
          <w:t>bit.ly/2wDApVr</w:t>
        </w:r>
      </w:hyperlink>
      <w:r w:rsidRPr="000C7102">
        <w:rPr>
          <w:rFonts w:asciiTheme="minorHAnsi" w:hAnsi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maranth">
    <w:altName w:val="Cambria"/>
    <w:panose1 w:val="00000000000000000000"/>
    <w:charset w:val="00"/>
    <w:family w:val="roman"/>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Helvetica">
    <w:panose1 w:val="020B0604020202020204"/>
    <w:charset w:val="00"/>
    <w:family w:val="swiss"/>
    <w:pitch w:val="variable"/>
    <w:sig w:usb0="E0002AFF" w:usb1="C0007843"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Tipo de letra del sistema Fina">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97B3" w14:textId="5C1178FA" w:rsidR="00A14E0A" w:rsidRPr="002D2A98" w:rsidRDefault="00A14E0A" w:rsidP="002D2A98">
    <w:pPr>
      <w:pStyle w:val="Footer"/>
      <w:jc w:val="right"/>
    </w:pPr>
    <w:r w:rsidRPr="008037C6">
      <w:rPr>
        <w:b/>
        <w:bCs/>
        <w:color w:val="CD6084" w:themeColor="accent5"/>
      </w:rPr>
      <w:t>|</w:t>
    </w:r>
    <w:r w:rsidRPr="008037C6">
      <w:rPr>
        <w:b/>
        <w:bCs/>
      </w:rPr>
      <w:t> </w:t>
    </w:r>
    <w:r w:rsidRPr="008037C6">
      <w:rPr>
        <w:bCs/>
        <w:szCs w:val="20"/>
      </w:rPr>
      <w:fldChar w:fldCharType="begin"/>
    </w:r>
    <w:r w:rsidRPr="008037C6">
      <w:rPr>
        <w:bCs/>
        <w:szCs w:val="20"/>
      </w:rPr>
      <w:instrText xml:space="preserve"> PAGE </w:instrText>
    </w:r>
    <w:r w:rsidRPr="008037C6">
      <w:rPr>
        <w:bCs/>
        <w:szCs w:val="20"/>
      </w:rPr>
      <w:fldChar w:fldCharType="separate"/>
    </w:r>
    <w:r w:rsidR="00736468">
      <w:rPr>
        <w:bCs/>
        <w:noProof/>
        <w:szCs w:val="20"/>
      </w:rPr>
      <w:t>8</w:t>
    </w:r>
    <w:r w:rsidRPr="008037C6">
      <w:rPr>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94D52" w14:textId="77777777" w:rsidR="00A14E0A" w:rsidRDefault="00A14E0A" w:rsidP="00926F3E">
      <w:pPr>
        <w:spacing w:after="0"/>
      </w:pPr>
      <w:r>
        <w:separator/>
      </w:r>
    </w:p>
  </w:footnote>
  <w:footnote w:type="continuationSeparator" w:id="0">
    <w:p w14:paraId="3D327442" w14:textId="77777777" w:rsidR="00A14E0A" w:rsidRDefault="00A14E0A" w:rsidP="00926F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4738D" w14:textId="03E3EFA9" w:rsidR="00A14E0A" w:rsidRPr="008037C6" w:rsidRDefault="00A14E0A" w:rsidP="00015B42">
    <w:pPr>
      <w:pStyle w:val="Header"/>
      <w:rPr>
        <w:rFonts w:asciiTheme="majorHAnsi" w:hAnsiTheme="majorHAnsi"/>
        <w:b/>
        <w:color w:val="FFFFFF" w:themeColor="background1"/>
        <w:sz w:val="28"/>
        <w:szCs w:val="28"/>
      </w:rPr>
    </w:pPr>
    <w:r w:rsidRPr="008037C6">
      <w:rPr>
        <w:b/>
        <w:noProof/>
        <w:sz w:val="28"/>
        <w:szCs w:val="28"/>
      </w:rPr>
      <mc:AlternateContent>
        <mc:Choice Requires="wps">
          <w:drawing>
            <wp:anchor distT="0" distB="0" distL="114300" distR="114300" simplePos="0" relativeHeight="251659264" behindDoc="1" locked="0" layoutInCell="1" allowOverlap="1" wp14:anchorId="2B415B72" wp14:editId="055DE1DC">
              <wp:simplePos x="0" y="0"/>
              <wp:positionH relativeFrom="column">
                <wp:posOffset>-840740</wp:posOffset>
              </wp:positionH>
              <wp:positionV relativeFrom="paragraph">
                <wp:posOffset>-460155</wp:posOffset>
              </wp:positionV>
              <wp:extent cx="7759700" cy="1397000"/>
              <wp:effectExtent l="50800" t="25400" r="50800" b="63500"/>
              <wp:wrapNone/>
              <wp:docPr id="3" name="Rectangle 3"/>
              <wp:cNvGraphicFramePr/>
              <a:graphic xmlns:a="http://schemas.openxmlformats.org/drawingml/2006/main">
                <a:graphicData uri="http://schemas.microsoft.com/office/word/2010/wordprocessingShape">
                  <wps:wsp>
                    <wps:cNvSpPr/>
                    <wps:spPr>
                      <a:xfrm>
                        <a:off x="0" y="0"/>
                        <a:ext cx="7759700" cy="1397000"/>
                      </a:xfrm>
                      <a:prstGeom prst="rect">
                        <a:avLst/>
                      </a:prstGeom>
                      <a:solidFill>
                        <a:schemeClr val="accent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D2BC4" id="Rectangle 3" o:spid="_x0000_s1026" style="position:absolute;margin-left:-66.2pt;margin-top:-36.25pt;width:611pt;height:1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" fillcolor="#291f51 [3204]" stroked="f">
              <v:shadow on="t" color="black" opacity="22937f" origin=",.5" offset="0,.63889mm"/>
            </v:rect>
          </w:pict>
        </mc:Fallback>
      </mc:AlternateContent>
    </w:r>
    <w:r>
      <w:rPr>
        <w:rFonts w:asciiTheme="majorHAnsi" w:hAnsiTheme="majorHAnsi"/>
        <w:b/>
        <w:color w:val="FFFFFF" w:themeColor="background1"/>
        <w:sz w:val="28"/>
        <w:szCs w:val="28"/>
      </w:rPr>
      <w:t>Chapter 14</w:t>
    </w:r>
  </w:p>
  <w:p w14:paraId="761AA5D4" w14:textId="56D44D8A" w:rsidR="00A14E0A" w:rsidRDefault="00A14E0A" w:rsidP="00015B42">
    <w:pPr>
      <w:pStyle w:val="Header"/>
    </w:pPr>
    <w:r w:rsidRPr="00015B42">
      <w:rPr>
        <w:rFonts w:asciiTheme="majorHAnsi" w:hAnsiTheme="majorHAnsi"/>
        <w:b/>
        <w:color w:val="FFFFFF" w:themeColor="background1"/>
        <w:sz w:val="28"/>
        <w:szCs w:val="28"/>
      </w:rPr>
      <w:t>Guidelines for the Provision of Neuroanaesthetic Services</w:t>
    </w:r>
    <w:r w:rsidR="000F7B3C">
      <w:rPr>
        <w:rFonts w:asciiTheme="majorHAnsi" w:hAnsiTheme="majorHAnsi"/>
        <w:b/>
        <w:color w:val="FFFFFF" w:themeColor="background1"/>
        <w:sz w:val="28"/>
        <w:szCs w:val="28"/>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571B"/>
    <w:multiLevelType w:val="hybridMultilevel"/>
    <w:tmpl w:val="D958A88E"/>
    <w:styleLink w:val="Bullet"/>
    <w:lvl w:ilvl="0" w:tplc="01AEB79C">
      <w:start w:val="1"/>
      <w:numFmt w:val="bullet"/>
      <w:lvlText w:val="•"/>
      <w:lvlJc w:val="left"/>
      <w:pPr>
        <w:ind w:left="180" w:hanging="180"/>
      </w:pPr>
      <w:rPr>
        <w:rFonts w:hAnsi="Arial Unicode MS"/>
        <w:caps w:val="0"/>
        <w:smallCaps w:val="0"/>
        <w:strike w:val="0"/>
        <w:dstrike w:val="0"/>
        <w:color w:val="000000"/>
        <w:spacing w:val="0"/>
        <w:w w:val="100"/>
        <w:kern w:val="0"/>
        <w:position w:val="-2"/>
        <w:vertAlign w:val="baseline"/>
      </w:rPr>
    </w:lvl>
    <w:lvl w:ilvl="1" w:tplc="5ACE262A">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rPr>
    </w:lvl>
    <w:lvl w:ilvl="2" w:tplc="8216E76A">
      <w:start w:val="1"/>
      <w:numFmt w:val="bullet"/>
      <w:lvlText w:val="•"/>
      <w:lvlJc w:val="left"/>
      <w:pPr>
        <w:ind w:left="540" w:hanging="180"/>
      </w:pPr>
      <w:rPr>
        <w:rFonts w:hAnsi="Arial Unicode MS"/>
        <w:caps w:val="0"/>
        <w:smallCaps w:val="0"/>
        <w:strike w:val="0"/>
        <w:dstrike w:val="0"/>
        <w:color w:val="000000"/>
        <w:spacing w:val="0"/>
        <w:w w:val="100"/>
        <w:kern w:val="0"/>
        <w:position w:val="-2"/>
        <w:vertAlign w:val="baseline"/>
      </w:rPr>
    </w:lvl>
    <w:lvl w:ilvl="3" w:tplc="80525922">
      <w:start w:val="1"/>
      <w:numFmt w:val="bullet"/>
      <w:lvlText w:val="•"/>
      <w:lvlJc w:val="left"/>
      <w:pPr>
        <w:ind w:left="720" w:hanging="180"/>
      </w:pPr>
      <w:rPr>
        <w:rFonts w:hAnsi="Arial Unicode MS"/>
        <w:caps w:val="0"/>
        <w:smallCaps w:val="0"/>
        <w:strike w:val="0"/>
        <w:dstrike w:val="0"/>
        <w:color w:val="000000"/>
        <w:spacing w:val="0"/>
        <w:w w:val="100"/>
        <w:kern w:val="0"/>
        <w:position w:val="-2"/>
        <w:vertAlign w:val="baseline"/>
      </w:rPr>
    </w:lvl>
    <w:lvl w:ilvl="4" w:tplc="FD065618">
      <w:start w:val="1"/>
      <w:numFmt w:val="bullet"/>
      <w:lvlText w:val="•"/>
      <w:lvlJc w:val="left"/>
      <w:pPr>
        <w:ind w:left="900" w:hanging="180"/>
      </w:pPr>
      <w:rPr>
        <w:rFonts w:hAnsi="Arial Unicode MS"/>
        <w:caps w:val="0"/>
        <w:smallCaps w:val="0"/>
        <w:strike w:val="0"/>
        <w:dstrike w:val="0"/>
        <w:color w:val="000000"/>
        <w:spacing w:val="0"/>
        <w:w w:val="100"/>
        <w:kern w:val="0"/>
        <w:position w:val="-2"/>
        <w:vertAlign w:val="baseline"/>
      </w:rPr>
    </w:lvl>
    <w:lvl w:ilvl="5" w:tplc="2A403622">
      <w:start w:val="1"/>
      <w:numFmt w:val="bullet"/>
      <w:lvlText w:val="•"/>
      <w:lvlJc w:val="left"/>
      <w:pPr>
        <w:ind w:left="1080" w:hanging="180"/>
      </w:pPr>
      <w:rPr>
        <w:rFonts w:hAnsi="Arial Unicode MS"/>
        <w:caps w:val="0"/>
        <w:smallCaps w:val="0"/>
        <w:strike w:val="0"/>
        <w:dstrike w:val="0"/>
        <w:color w:val="000000"/>
        <w:spacing w:val="0"/>
        <w:w w:val="100"/>
        <w:kern w:val="0"/>
        <w:position w:val="-2"/>
        <w:vertAlign w:val="baseline"/>
      </w:rPr>
    </w:lvl>
    <w:lvl w:ilvl="6" w:tplc="1F8CC07E">
      <w:start w:val="1"/>
      <w:numFmt w:val="bullet"/>
      <w:lvlText w:val="•"/>
      <w:lvlJc w:val="left"/>
      <w:pPr>
        <w:ind w:left="1260" w:hanging="180"/>
      </w:pPr>
      <w:rPr>
        <w:rFonts w:hAnsi="Arial Unicode MS"/>
        <w:caps w:val="0"/>
        <w:smallCaps w:val="0"/>
        <w:strike w:val="0"/>
        <w:dstrike w:val="0"/>
        <w:color w:val="000000"/>
        <w:spacing w:val="0"/>
        <w:w w:val="100"/>
        <w:kern w:val="0"/>
        <w:position w:val="-2"/>
        <w:vertAlign w:val="baseline"/>
      </w:rPr>
    </w:lvl>
    <w:lvl w:ilvl="7" w:tplc="41E2D7CA">
      <w:start w:val="1"/>
      <w:numFmt w:val="bullet"/>
      <w:lvlText w:val="•"/>
      <w:lvlJc w:val="left"/>
      <w:pPr>
        <w:ind w:left="1440" w:hanging="180"/>
      </w:pPr>
      <w:rPr>
        <w:rFonts w:hAnsi="Arial Unicode MS"/>
        <w:caps w:val="0"/>
        <w:smallCaps w:val="0"/>
        <w:strike w:val="0"/>
        <w:dstrike w:val="0"/>
        <w:color w:val="000000"/>
        <w:spacing w:val="0"/>
        <w:w w:val="100"/>
        <w:kern w:val="0"/>
        <w:position w:val="-2"/>
        <w:vertAlign w:val="baseline"/>
      </w:rPr>
    </w:lvl>
    <w:lvl w:ilvl="8" w:tplc="E0769BDE">
      <w:start w:val="1"/>
      <w:numFmt w:val="bullet"/>
      <w:lvlText w:val="•"/>
      <w:lvlJc w:val="left"/>
      <w:pPr>
        <w:ind w:left="1620" w:hanging="180"/>
      </w:pPr>
      <w:rPr>
        <w:rFonts w:hAnsi="Arial Unicode MS"/>
        <w:caps w:val="0"/>
        <w:smallCaps w:val="0"/>
        <w:strike w:val="0"/>
        <w:dstrike w:val="0"/>
        <w:color w:val="000000"/>
        <w:spacing w:val="0"/>
        <w:w w:val="100"/>
        <w:kern w:val="0"/>
        <w:position w:val="-2"/>
        <w:vertAlign w:val="baseline"/>
      </w:rPr>
    </w:lvl>
  </w:abstractNum>
  <w:abstractNum w:abstractNumId="1" w15:restartNumberingAfterBreak="0">
    <w:nsid w:val="198363E6"/>
    <w:multiLevelType w:val="hybridMultilevel"/>
    <w:tmpl w:val="527AA946"/>
    <w:styleLink w:val="ImportedStyle3"/>
    <w:lvl w:ilvl="0" w:tplc="57BEA27E">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D8D510">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9CC918">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3823AC">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1A9398">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1CB998">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C76">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B08192">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7C712E">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2F2717"/>
    <w:multiLevelType w:val="multilevel"/>
    <w:tmpl w:val="72A0FDC2"/>
    <w:styleLink w:val="ImportedStyle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27"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27"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87"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287"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647"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007"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007"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367"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22F0C8A"/>
    <w:multiLevelType w:val="multilevel"/>
    <w:tmpl w:val="F5F69F72"/>
    <w:lvl w:ilvl="0">
      <w:start w:val="1"/>
      <w:numFmt w:val="decimal"/>
      <w:lvlText w:val="%1"/>
      <w:lvlJc w:val="left"/>
      <w:pPr>
        <w:ind w:left="1429" w:hanging="360"/>
      </w:pPr>
      <w:rPr>
        <w:rFonts w:hint="default"/>
        <w:color w:val="CD6084" w:themeColor="accent5"/>
      </w:rPr>
    </w:lvl>
    <w:lvl w:ilvl="1">
      <w:start w:val="1"/>
      <w:numFmt w:val="decimal"/>
      <w:isLgl/>
      <w:lvlText w:val="%1.%2"/>
      <w:lvlJc w:val="left"/>
      <w:pPr>
        <w:ind w:left="1789" w:hanging="720"/>
      </w:pPr>
      <w:rPr>
        <w:rFonts w:hint="default"/>
        <w:b w:val="0"/>
        <w:i w:val="0"/>
        <w:color w:val="50ABBF" w:themeColor="accent2"/>
        <w:vertAlign w:val="baseline"/>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254E4B8E"/>
    <w:multiLevelType w:val="hybridMultilevel"/>
    <w:tmpl w:val="99FCD192"/>
    <w:lvl w:ilvl="0" w:tplc="5C1C1FF6">
      <w:start w:val="1"/>
      <w:numFmt w:val="bullet"/>
      <w:lvlText w:val="-"/>
      <w:lvlJc w:val="left"/>
      <w:pPr>
        <w:ind w:left="717" w:hanging="360"/>
      </w:pPr>
      <w:rPr>
        <w:rFonts w:ascii="Courier New" w:hAnsi="Courier New" w:hint="default"/>
        <w:color w:val="50ABB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21C5A"/>
    <w:multiLevelType w:val="hybridMultilevel"/>
    <w:tmpl w:val="9B4E7D02"/>
    <w:lvl w:ilvl="0" w:tplc="3DF8B326">
      <w:start w:val="1"/>
      <w:numFmt w:val="bullet"/>
      <w:pStyle w:val="bullets"/>
      <w:lvlText w:val=""/>
      <w:lvlJc w:val="left"/>
      <w:pPr>
        <w:ind w:left="720" w:hanging="360"/>
      </w:pPr>
      <w:rPr>
        <w:rFonts w:ascii="Symbol" w:hAnsi="Symbol" w:hint="default"/>
        <w:color w:val="50ABBF" w:themeColor="accen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85E6A"/>
    <w:multiLevelType w:val="multilevel"/>
    <w:tmpl w:val="FF8E915A"/>
    <w:lvl w:ilvl="0">
      <w:start w:val="1"/>
      <w:numFmt w:val="decimal"/>
      <w:pStyle w:val="Heading4"/>
      <w:lvlText w:val="%1"/>
      <w:lvlJc w:val="left"/>
      <w:pPr>
        <w:ind w:left="567" w:hanging="567"/>
      </w:pPr>
      <w:rPr>
        <w:rFonts w:hint="default"/>
      </w:rPr>
    </w:lvl>
    <w:lvl w:ilvl="1">
      <w:start w:val="1"/>
      <w:numFmt w:val="decimal"/>
      <w:pStyle w:val="recommendation"/>
      <w:isLgl/>
      <w:lvlText w:val="%1.%2"/>
      <w:lvlJc w:val="left"/>
      <w:pPr>
        <w:ind w:left="8942" w:hanging="720"/>
      </w:pPr>
      <w:rPr>
        <w:rFonts w:hint="default"/>
        <w:color w:val="50ABBF" w:themeColor="accent2"/>
      </w:rPr>
    </w:lvl>
    <w:lvl w:ilvl="2">
      <w:start w:val="1"/>
      <w:numFmt w:val="bullet"/>
      <w:lvlText w:val="-"/>
      <w:lvlJc w:val="left"/>
      <w:pPr>
        <w:ind w:left="720" w:hanging="360"/>
      </w:pPr>
      <w:rPr>
        <w:rFonts w:ascii="Courier New" w:hAnsi="Courier New" w:hint="default"/>
        <w:color w:val="50ABBF"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B4E08D8"/>
    <w:multiLevelType w:val="multilevel"/>
    <w:tmpl w:val="9054624E"/>
    <w:styleLink w:val="ImportedStyle7"/>
    <w:lvl w:ilvl="0">
      <w:start w:val="1"/>
      <w:numFmt w:val="decimal"/>
      <w:lvlText w:val="%1."/>
      <w:lvlJc w:val="left"/>
      <w:pPr>
        <w:tabs>
          <w:tab w:val="left" w:pos="3118"/>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3118"/>
        </w:tabs>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3118"/>
        </w:tabs>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3118"/>
        </w:tabs>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3118"/>
        </w:tabs>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3118"/>
        </w:tabs>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3118"/>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3118"/>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3118"/>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F935579"/>
    <w:multiLevelType w:val="hybridMultilevel"/>
    <w:tmpl w:val="AC70E7FA"/>
    <w:lvl w:ilvl="0" w:tplc="5C1C1FF6">
      <w:start w:val="1"/>
      <w:numFmt w:val="bullet"/>
      <w:lvlText w:val="-"/>
      <w:lvlJc w:val="left"/>
      <w:pPr>
        <w:ind w:left="717" w:hanging="360"/>
      </w:pPr>
      <w:rPr>
        <w:rFonts w:ascii="Courier New" w:hAnsi="Courier New" w:hint="default"/>
        <w:color w:val="50ABB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0"/>
  </w:num>
  <w:num w:numId="6">
    <w:abstractNumId w:val="5"/>
  </w:num>
  <w:num w:numId="7">
    <w:abstractNumId w:val="6"/>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oNotTrackFormatting/>
  <w:defaultTabStop w:val="720"/>
  <w:characterSpacingControl w:val="doNotCompress"/>
  <w:hdrShapeDefaults>
    <o:shapedefaults v:ext="edit" spidmax="21505"/>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70"/>
    <w:rsid w:val="000004C2"/>
    <w:rsid w:val="0000506F"/>
    <w:rsid w:val="000058F6"/>
    <w:rsid w:val="00013986"/>
    <w:rsid w:val="00014039"/>
    <w:rsid w:val="0001483E"/>
    <w:rsid w:val="00015B42"/>
    <w:rsid w:val="00022587"/>
    <w:rsid w:val="00030BCB"/>
    <w:rsid w:val="00031C64"/>
    <w:rsid w:val="00034CAB"/>
    <w:rsid w:val="000355CE"/>
    <w:rsid w:val="00042046"/>
    <w:rsid w:val="00044555"/>
    <w:rsid w:val="00055D45"/>
    <w:rsid w:val="00055E12"/>
    <w:rsid w:val="00055F97"/>
    <w:rsid w:val="000601A7"/>
    <w:rsid w:val="000704EE"/>
    <w:rsid w:val="00071060"/>
    <w:rsid w:val="000717E6"/>
    <w:rsid w:val="0007195A"/>
    <w:rsid w:val="00072264"/>
    <w:rsid w:val="000727F3"/>
    <w:rsid w:val="00072B1A"/>
    <w:rsid w:val="00073888"/>
    <w:rsid w:val="0008090B"/>
    <w:rsid w:val="00081A98"/>
    <w:rsid w:val="000831FA"/>
    <w:rsid w:val="00084474"/>
    <w:rsid w:val="00084BD2"/>
    <w:rsid w:val="000850C3"/>
    <w:rsid w:val="0008736B"/>
    <w:rsid w:val="00092C15"/>
    <w:rsid w:val="00093812"/>
    <w:rsid w:val="0009660D"/>
    <w:rsid w:val="000A5F03"/>
    <w:rsid w:val="000B00D1"/>
    <w:rsid w:val="000B0918"/>
    <w:rsid w:val="000B4B8C"/>
    <w:rsid w:val="000B5E21"/>
    <w:rsid w:val="000C7102"/>
    <w:rsid w:val="000C7781"/>
    <w:rsid w:val="000D78FC"/>
    <w:rsid w:val="000E1E2A"/>
    <w:rsid w:val="000E2DC8"/>
    <w:rsid w:val="000E5F8C"/>
    <w:rsid w:val="000F382C"/>
    <w:rsid w:val="000F62EF"/>
    <w:rsid w:val="000F7AD1"/>
    <w:rsid w:val="000F7B3C"/>
    <w:rsid w:val="001011C4"/>
    <w:rsid w:val="00101475"/>
    <w:rsid w:val="0010324A"/>
    <w:rsid w:val="00105428"/>
    <w:rsid w:val="0010561E"/>
    <w:rsid w:val="00110BD4"/>
    <w:rsid w:val="00113E70"/>
    <w:rsid w:val="0011477A"/>
    <w:rsid w:val="00127979"/>
    <w:rsid w:val="00131913"/>
    <w:rsid w:val="00140A32"/>
    <w:rsid w:val="001414ED"/>
    <w:rsid w:val="00145BBE"/>
    <w:rsid w:val="00154119"/>
    <w:rsid w:val="00155944"/>
    <w:rsid w:val="0016162F"/>
    <w:rsid w:val="001630D9"/>
    <w:rsid w:val="001654AD"/>
    <w:rsid w:val="00165BEC"/>
    <w:rsid w:val="00167740"/>
    <w:rsid w:val="00173AD6"/>
    <w:rsid w:val="00174346"/>
    <w:rsid w:val="00175F6B"/>
    <w:rsid w:val="00180D3A"/>
    <w:rsid w:val="001819A2"/>
    <w:rsid w:val="00184CDD"/>
    <w:rsid w:val="00186924"/>
    <w:rsid w:val="00191C39"/>
    <w:rsid w:val="00194942"/>
    <w:rsid w:val="001A027D"/>
    <w:rsid w:val="001B0CE9"/>
    <w:rsid w:val="001C0D39"/>
    <w:rsid w:val="001F2E6F"/>
    <w:rsid w:val="00200836"/>
    <w:rsid w:val="00203541"/>
    <w:rsid w:val="002039D5"/>
    <w:rsid w:val="0021295B"/>
    <w:rsid w:val="00214187"/>
    <w:rsid w:val="00217986"/>
    <w:rsid w:val="002201D3"/>
    <w:rsid w:val="00225536"/>
    <w:rsid w:val="0022571A"/>
    <w:rsid w:val="00226EEB"/>
    <w:rsid w:val="002272C4"/>
    <w:rsid w:val="00231F64"/>
    <w:rsid w:val="00235061"/>
    <w:rsid w:val="00237CBD"/>
    <w:rsid w:val="002478F1"/>
    <w:rsid w:val="00252CAF"/>
    <w:rsid w:val="0026001C"/>
    <w:rsid w:val="00260A56"/>
    <w:rsid w:val="00265BD9"/>
    <w:rsid w:val="00265CC0"/>
    <w:rsid w:val="00267B6C"/>
    <w:rsid w:val="00285D82"/>
    <w:rsid w:val="00286042"/>
    <w:rsid w:val="00294583"/>
    <w:rsid w:val="0029483C"/>
    <w:rsid w:val="002966AF"/>
    <w:rsid w:val="002A044F"/>
    <w:rsid w:val="002A13A6"/>
    <w:rsid w:val="002A4724"/>
    <w:rsid w:val="002A5651"/>
    <w:rsid w:val="002A63B0"/>
    <w:rsid w:val="002B350F"/>
    <w:rsid w:val="002B4F44"/>
    <w:rsid w:val="002B6E59"/>
    <w:rsid w:val="002C192E"/>
    <w:rsid w:val="002C3470"/>
    <w:rsid w:val="002C607A"/>
    <w:rsid w:val="002C719A"/>
    <w:rsid w:val="002D1933"/>
    <w:rsid w:val="002D1B02"/>
    <w:rsid w:val="002D2A0A"/>
    <w:rsid w:val="002D2A98"/>
    <w:rsid w:val="002D2BC4"/>
    <w:rsid w:val="002D43E6"/>
    <w:rsid w:val="002D7450"/>
    <w:rsid w:val="002E0930"/>
    <w:rsid w:val="002E09C9"/>
    <w:rsid w:val="002E0CC8"/>
    <w:rsid w:val="002E6DCD"/>
    <w:rsid w:val="002F054F"/>
    <w:rsid w:val="002F114E"/>
    <w:rsid w:val="002F232F"/>
    <w:rsid w:val="002F447F"/>
    <w:rsid w:val="002F464E"/>
    <w:rsid w:val="00301C94"/>
    <w:rsid w:val="00305D66"/>
    <w:rsid w:val="003077E2"/>
    <w:rsid w:val="00313204"/>
    <w:rsid w:val="003146CC"/>
    <w:rsid w:val="003148EE"/>
    <w:rsid w:val="003168EA"/>
    <w:rsid w:val="003201C6"/>
    <w:rsid w:val="00321A29"/>
    <w:rsid w:val="003223D3"/>
    <w:rsid w:val="00322C90"/>
    <w:rsid w:val="0033370C"/>
    <w:rsid w:val="003346A8"/>
    <w:rsid w:val="003350C7"/>
    <w:rsid w:val="003405BF"/>
    <w:rsid w:val="00341284"/>
    <w:rsid w:val="003449BE"/>
    <w:rsid w:val="003468E0"/>
    <w:rsid w:val="003470B0"/>
    <w:rsid w:val="0035010F"/>
    <w:rsid w:val="00350A50"/>
    <w:rsid w:val="00350B9C"/>
    <w:rsid w:val="0035376F"/>
    <w:rsid w:val="003550F2"/>
    <w:rsid w:val="00356F51"/>
    <w:rsid w:val="00367D32"/>
    <w:rsid w:val="0037057A"/>
    <w:rsid w:val="00371F8C"/>
    <w:rsid w:val="0037739C"/>
    <w:rsid w:val="00377488"/>
    <w:rsid w:val="003848FA"/>
    <w:rsid w:val="00387D8A"/>
    <w:rsid w:val="00390E3E"/>
    <w:rsid w:val="00392C97"/>
    <w:rsid w:val="003970A4"/>
    <w:rsid w:val="00397E28"/>
    <w:rsid w:val="003A5854"/>
    <w:rsid w:val="003B06AD"/>
    <w:rsid w:val="003C1B88"/>
    <w:rsid w:val="003C441B"/>
    <w:rsid w:val="003C4E67"/>
    <w:rsid w:val="003C51BF"/>
    <w:rsid w:val="003C5AF0"/>
    <w:rsid w:val="003C5C63"/>
    <w:rsid w:val="003D0F25"/>
    <w:rsid w:val="003D4551"/>
    <w:rsid w:val="003E1BDC"/>
    <w:rsid w:val="003E45BC"/>
    <w:rsid w:val="003E46A0"/>
    <w:rsid w:val="003F0E8A"/>
    <w:rsid w:val="003F4A86"/>
    <w:rsid w:val="003F5E15"/>
    <w:rsid w:val="004010D2"/>
    <w:rsid w:val="00402FB8"/>
    <w:rsid w:val="00411CB8"/>
    <w:rsid w:val="00415AB5"/>
    <w:rsid w:val="004167B3"/>
    <w:rsid w:val="00421E95"/>
    <w:rsid w:val="00425E1D"/>
    <w:rsid w:val="00427C70"/>
    <w:rsid w:val="00434E28"/>
    <w:rsid w:val="00443EEF"/>
    <w:rsid w:val="004500D5"/>
    <w:rsid w:val="00450D81"/>
    <w:rsid w:val="004514AA"/>
    <w:rsid w:val="00452219"/>
    <w:rsid w:val="00452A49"/>
    <w:rsid w:val="00456B50"/>
    <w:rsid w:val="00461AF3"/>
    <w:rsid w:val="00467850"/>
    <w:rsid w:val="00472EE1"/>
    <w:rsid w:val="00475156"/>
    <w:rsid w:val="00487AC0"/>
    <w:rsid w:val="004916A5"/>
    <w:rsid w:val="004918E3"/>
    <w:rsid w:val="004925E5"/>
    <w:rsid w:val="00492FD7"/>
    <w:rsid w:val="00496E03"/>
    <w:rsid w:val="004A0BA0"/>
    <w:rsid w:val="004A219D"/>
    <w:rsid w:val="004A36B8"/>
    <w:rsid w:val="004B01C7"/>
    <w:rsid w:val="004B2CF9"/>
    <w:rsid w:val="004B634E"/>
    <w:rsid w:val="004B70A7"/>
    <w:rsid w:val="004C4DE1"/>
    <w:rsid w:val="004D047B"/>
    <w:rsid w:val="004D0F8A"/>
    <w:rsid w:val="004D3C5F"/>
    <w:rsid w:val="004E6A81"/>
    <w:rsid w:val="004F0103"/>
    <w:rsid w:val="004F28AE"/>
    <w:rsid w:val="004F5F65"/>
    <w:rsid w:val="0051254D"/>
    <w:rsid w:val="0052442E"/>
    <w:rsid w:val="00524520"/>
    <w:rsid w:val="00534771"/>
    <w:rsid w:val="005357EB"/>
    <w:rsid w:val="005438ED"/>
    <w:rsid w:val="005469A2"/>
    <w:rsid w:val="00555208"/>
    <w:rsid w:val="005616DF"/>
    <w:rsid w:val="00561789"/>
    <w:rsid w:val="0057681E"/>
    <w:rsid w:val="005829CA"/>
    <w:rsid w:val="005A306F"/>
    <w:rsid w:val="005A5B6B"/>
    <w:rsid w:val="005A63A9"/>
    <w:rsid w:val="005B74F8"/>
    <w:rsid w:val="005C5863"/>
    <w:rsid w:val="005C5D78"/>
    <w:rsid w:val="005D64C4"/>
    <w:rsid w:val="005E6B73"/>
    <w:rsid w:val="005F22AB"/>
    <w:rsid w:val="005F316E"/>
    <w:rsid w:val="005F577B"/>
    <w:rsid w:val="00602862"/>
    <w:rsid w:val="00604E86"/>
    <w:rsid w:val="0060509C"/>
    <w:rsid w:val="00605C4C"/>
    <w:rsid w:val="006075E0"/>
    <w:rsid w:val="00617287"/>
    <w:rsid w:val="006277D4"/>
    <w:rsid w:val="0062791D"/>
    <w:rsid w:val="006340D1"/>
    <w:rsid w:val="00642F2A"/>
    <w:rsid w:val="00650CA3"/>
    <w:rsid w:val="00656410"/>
    <w:rsid w:val="00656C9A"/>
    <w:rsid w:val="00656CCE"/>
    <w:rsid w:val="00657DB8"/>
    <w:rsid w:val="0066177F"/>
    <w:rsid w:val="00664E97"/>
    <w:rsid w:val="00666E18"/>
    <w:rsid w:val="00670A2B"/>
    <w:rsid w:val="00672AFF"/>
    <w:rsid w:val="00674098"/>
    <w:rsid w:val="0068083E"/>
    <w:rsid w:val="006905FB"/>
    <w:rsid w:val="0069544D"/>
    <w:rsid w:val="00697D0F"/>
    <w:rsid w:val="006A2E42"/>
    <w:rsid w:val="006A3AB3"/>
    <w:rsid w:val="006A4863"/>
    <w:rsid w:val="006A6A12"/>
    <w:rsid w:val="006B2A41"/>
    <w:rsid w:val="006B31D5"/>
    <w:rsid w:val="006C414D"/>
    <w:rsid w:val="006D6A19"/>
    <w:rsid w:val="006E1358"/>
    <w:rsid w:val="006E3E9E"/>
    <w:rsid w:val="006E5913"/>
    <w:rsid w:val="006F139D"/>
    <w:rsid w:val="006F4A83"/>
    <w:rsid w:val="006F7F5E"/>
    <w:rsid w:val="00702289"/>
    <w:rsid w:val="00703E2A"/>
    <w:rsid w:val="00706C80"/>
    <w:rsid w:val="0071365B"/>
    <w:rsid w:val="00717FB1"/>
    <w:rsid w:val="00727570"/>
    <w:rsid w:val="00736468"/>
    <w:rsid w:val="00740CE2"/>
    <w:rsid w:val="007446CE"/>
    <w:rsid w:val="0075035B"/>
    <w:rsid w:val="007524BD"/>
    <w:rsid w:val="00752E1A"/>
    <w:rsid w:val="00753D71"/>
    <w:rsid w:val="00753E69"/>
    <w:rsid w:val="007552A3"/>
    <w:rsid w:val="00756336"/>
    <w:rsid w:val="007636FD"/>
    <w:rsid w:val="00764652"/>
    <w:rsid w:val="007654FB"/>
    <w:rsid w:val="00767EDB"/>
    <w:rsid w:val="00770F80"/>
    <w:rsid w:val="0077423C"/>
    <w:rsid w:val="00776B9F"/>
    <w:rsid w:val="007773E9"/>
    <w:rsid w:val="007774EB"/>
    <w:rsid w:val="0078062E"/>
    <w:rsid w:val="007939AD"/>
    <w:rsid w:val="007A0971"/>
    <w:rsid w:val="007A115B"/>
    <w:rsid w:val="007A2761"/>
    <w:rsid w:val="007A4F04"/>
    <w:rsid w:val="007A5392"/>
    <w:rsid w:val="007A6FCE"/>
    <w:rsid w:val="007A77AD"/>
    <w:rsid w:val="007B236C"/>
    <w:rsid w:val="007B3A0E"/>
    <w:rsid w:val="007B70FB"/>
    <w:rsid w:val="007C1900"/>
    <w:rsid w:val="007C249D"/>
    <w:rsid w:val="007C50E6"/>
    <w:rsid w:val="007C68C8"/>
    <w:rsid w:val="007D22D4"/>
    <w:rsid w:val="007D2AC2"/>
    <w:rsid w:val="007D570D"/>
    <w:rsid w:val="007E4792"/>
    <w:rsid w:val="007E6B1C"/>
    <w:rsid w:val="007F4CEF"/>
    <w:rsid w:val="00800486"/>
    <w:rsid w:val="008049E3"/>
    <w:rsid w:val="008052B2"/>
    <w:rsid w:val="0080698B"/>
    <w:rsid w:val="00820E91"/>
    <w:rsid w:val="00833C6D"/>
    <w:rsid w:val="0083442E"/>
    <w:rsid w:val="00834503"/>
    <w:rsid w:val="00835A0C"/>
    <w:rsid w:val="008427FB"/>
    <w:rsid w:val="00845ADF"/>
    <w:rsid w:val="00850018"/>
    <w:rsid w:val="00851820"/>
    <w:rsid w:val="00855EFD"/>
    <w:rsid w:val="00857F40"/>
    <w:rsid w:val="008629C6"/>
    <w:rsid w:val="00864A7C"/>
    <w:rsid w:val="008707AD"/>
    <w:rsid w:val="00874E4B"/>
    <w:rsid w:val="00881C98"/>
    <w:rsid w:val="00881D31"/>
    <w:rsid w:val="00887567"/>
    <w:rsid w:val="0089099B"/>
    <w:rsid w:val="008938FD"/>
    <w:rsid w:val="0089480F"/>
    <w:rsid w:val="008A545B"/>
    <w:rsid w:val="008A5B7D"/>
    <w:rsid w:val="008A7E9A"/>
    <w:rsid w:val="008B057A"/>
    <w:rsid w:val="008B3FFF"/>
    <w:rsid w:val="008B4BB1"/>
    <w:rsid w:val="008C0512"/>
    <w:rsid w:val="008C05FC"/>
    <w:rsid w:val="008C1F59"/>
    <w:rsid w:val="008C627C"/>
    <w:rsid w:val="008C6BE9"/>
    <w:rsid w:val="008D14CD"/>
    <w:rsid w:val="008D329E"/>
    <w:rsid w:val="008D559F"/>
    <w:rsid w:val="008E25A9"/>
    <w:rsid w:val="008F030F"/>
    <w:rsid w:val="008F52E7"/>
    <w:rsid w:val="00903FF1"/>
    <w:rsid w:val="00904964"/>
    <w:rsid w:val="009075EA"/>
    <w:rsid w:val="00907C5C"/>
    <w:rsid w:val="00913A66"/>
    <w:rsid w:val="00913E96"/>
    <w:rsid w:val="00926F3E"/>
    <w:rsid w:val="00930412"/>
    <w:rsid w:val="00930A52"/>
    <w:rsid w:val="00932422"/>
    <w:rsid w:val="00933CA3"/>
    <w:rsid w:val="00936164"/>
    <w:rsid w:val="009374BC"/>
    <w:rsid w:val="009378E3"/>
    <w:rsid w:val="00937A72"/>
    <w:rsid w:val="00937C92"/>
    <w:rsid w:val="00941601"/>
    <w:rsid w:val="00941B8B"/>
    <w:rsid w:val="00945B17"/>
    <w:rsid w:val="009506D9"/>
    <w:rsid w:val="009556F2"/>
    <w:rsid w:val="00956FB7"/>
    <w:rsid w:val="009664B4"/>
    <w:rsid w:val="00971B81"/>
    <w:rsid w:val="0097218E"/>
    <w:rsid w:val="009727C1"/>
    <w:rsid w:val="0097740F"/>
    <w:rsid w:val="0098280A"/>
    <w:rsid w:val="0099013F"/>
    <w:rsid w:val="00992579"/>
    <w:rsid w:val="00992C3F"/>
    <w:rsid w:val="009A033E"/>
    <w:rsid w:val="009A05F9"/>
    <w:rsid w:val="009A0AC1"/>
    <w:rsid w:val="009A3086"/>
    <w:rsid w:val="009A3436"/>
    <w:rsid w:val="009A52AD"/>
    <w:rsid w:val="009A5F23"/>
    <w:rsid w:val="009A67F4"/>
    <w:rsid w:val="009B024D"/>
    <w:rsid w:val="009B05AE"/>
    <w:rsid w:val="009B100D"/>
    <w:rsid w:val="009B2223"/>
    <w:rsid w:val="009B75F4"/>
    <w:rsid w:val="009C45D9"/>
    <w:rsid w:val="009C6630"/>
    <w:rsid w:val="009C7F23"/>
    <w:rsid w:val="009D03B2"/>
    <w:rsid w:val="009D1CC5"/>
    <w:rsid w:val="009E0FF0"/>
    <w:rsid w:val="009E5E76"/>
    <w:rsid w:val="00A01A25"/>
    <w:rsid w:val="00A12288"/>
    <w:rsid w:val="00A14E0A"/>
    <w:rsid w:val="00A15FEB"/>
    <w:rsid w:val="00A22F6D"/>
    <w:rsid w:val="00A23074"/>
    <w:rsid w:val="00A2471D"/>
    <w:rsid w:val="00A26EB1"/>
    <w:rsid w:val="00A300BE"/>
    <w:rsid w:val="00A31C2D"/>
    <w:rsid w:val="00A3435B"/>
    <w:rsid w:val="00A35253"/>
    <w:rsid w:val="00A36C0D"/>
    <w:rsid w:val="00A40901"/>
    <w:rsid w:val="00A44F65"/>
    <w:rsid w:val="00A52073"/>
    <w:rsid w:val="00A61E7E"/>
    <w:rsid w:val="00A645D7"/>
    <w:rsid w:val="00A70864"/>
    <w:rsid w:val="00A761ED"/>
    <w:rsid w:val="00A82B46"/>
    <w:rsid w:val="00A82DA8"/>
    <w:rsid w:val="00A869D8"/>
    <w:rsid w:val="00A86B5A"/>
    <w:rsid w:val="00A877BF"/>
    <w:rsid w:val="00A92534"/>
    <w:rsid w:val="00A9433F"/>
    <w:rsid w:val="00AA0608"/>
    <w:rsid w:val="00AA1938"/>
    <w:rsid w:val="00AA4195"/>
    <w:rsid w:val="00AA708E"/>
    <w:rsid w:val="00AB0E4A"/>
    <w:rsid w:val="00AB2BF8"/>
    <w:rsid w:val="00AB2DEF"/>
    <w:rsid w:val="00AB615F"/>
    <w:rsid w:val="00AB6DBD"/>
    <w:rsid w:val="00AC0CAD"/>
    <w:rsid w:val="00AC1503"/>
    <w:rsid w:val="00AC195F"/>
    <w:rsid w:val="00AC2509"/>
    <w:rsid w:val="00AC5301"/>
    <w:rsid w:val="00AC56BE"/>
    <w:rsid w:val="00AD1056"/>
    <w:rsid w:val="00AD1708"/>
    <w:rsid w:val="00AD18D0"/>
    <w:rsid w:val="00AD3232"/>
    <w:rsid w:val="00AE0CF6"/>
    <w:rsid w:val="00AE3984"/>
    <w:rsid w:val="00AF1696"/>
    <w:rsid w:val="00AF25D6"/>
    <w:rsid w:val="00AF4F5F"/>
    <w:rsid w:val="00B03347"/>
    <w:rsid w:val="00B04ED9"/>
    <w:rsid w:val="00B0636C"/>
    <w:rsid w:val="00B14CDD"/>
    <w:rsid w:val="00B15CED"/>
    <w:rsid w:val="00B16129"/>
    <w:rsid w:val="00B20516"/>
    <w:rsid w:val="00B26611"/>
    <w:rsid w:val="00B30BBB"/>
    <w:rsid w:val="00B45CF7"/>
    <w:rsid w:val="00B46C2A"/>
    <w:rsid w:val="00B5082F"/>
    <w:rsid w:val="00B516D3"/>
    <w:rsid w:val="00B54CB5"/>
    <w:rsid w:val="00B615E0"/>
    <w:rsid w:val="00B62DBC"/>
    <w:rsid w:val="00B63500"/>
    <w:rsid w:val="00B64157"/>
    <w:rsid w:val="00B70B1B"/>
    <w:rsid w:val="00B7240F"/>
    <w:rsid w:val="00B72650"/>
    <w:rsid w:val="00B72743"/>
    <w:rsid w:val="00B72825"/>
    <w:rsid w:val="00B80C20"/>
    <w:rsid w:val="00B81485"/>
    <w:rsid w:val="00B8150B"/>
    <w:rsid w:val="00B86D8B"/>
    <w:rsid w:val="00B954D7"/>
    <w:rsid w:val="00BA1A59"/>
    <w:rsid w:val="00BA4EDF"/>
    <w:rsid w:val="00BA6A00"/>
    <w:rsid w:val="00BB623A"/>
    <w:rsid w:val="00BB7FC5"/>
    <w:rsid w:val="00BC772D"/>
    <w:rsid w:val="00BC7D43"/>
    <w:rsid w:val="00BD2DDD"/>
    <w:rsid w:val="00BE36E1"/>
    <w:rsid w:val="00BE66D6"/>
    <w:rsid w:val="00BE7371"/>
    <w:rsid w:val="00BE7DF3"/>
    <w:rsid w:val="00BF057C"/>
    <w:rsid w:val="00BF2500"/>
    <w:rsid w:val="00BF321D"/>
    <w:rsid w:val="00BF3E29"/>
    <w:rsid w:val="00C02AC0"/>
    <w:rsid w:val="00C04E02"/>
    <w:rsid w:val="00C0516A"/>
    <w:rsid w:val="00C051D4"/>
    <w:rsid w:val="00C06B44"/>
    <w:rsid w:val="00C11DE4"/>
    <w:rsid w:val="00C14340"/>
    <w:rsid w:val="00C15349"/>
    <w:rsid w:val="00C158A8"/>
    <w:rsid w:val="00C15934"/>
    <w:rsid w:val="00C22CC5"/>
    <w:rsid w:val="00C236DA"/>
    <w:rsid w:val="00C23E55"/>
    <w:rsid w:val="00C25968"/>
    <w:rsid w:val="00C31AF7"/>
    <w:rsid w:val="00C3661F"/>
    <w:rsid w:val="00C41FFC"/>
    <w:rsid w:val="00C45A4C"/>
    <w:rsid w:val="00C5398F"/>
    <w:rsid w:val="00C542DA"/>
    <w:rsid w:val="00C557FC"/>
    <w:rsid w:val="00C5785D"/>
    <w:rsid w:val="00C57ED9"/>
    <w:rsid w:val="00C60422"/>
    <w:rsid w:val="00C605E5"/>
    <w:rsid w:val="00C6178A"/>
    <w:rsid w:val="00C663E4"/>
    <w:rsid w:val="00C67DBD"/>
    <w:rsid w:val="00C719A7"/>
    <w:rsid w:val="00C748E3"/>
    <w:rsid w:val="00C766F7"/>
    <w:rsid w:val="00C87D5A"/>
    <w:rsid w:val="00C92937"/>
    <w:rsid w:val="00C94F81"/>
    <w:rsid w:val="00C95BF7"/>
    <w:rsid w:val="00C96638"/>
    <w:rsid w:val="00CA134D"/>
    <w:rsid w:val="00CA1EF7"/>
    <w:rsid w:val="00CA2F30"/>
    <w:rsid w:val="00CB131D"/>
    <w:rsid w:val="00CB5EA6"/>
    <w:rsid w:val="00CB71EB"/>
    <w:rsid w:val="00CB7274"/>
    <w:rsid w:val="00CC0AA1"/>
    <w:rsid w:val="00CC4200"/>
    <w:rsid w:val="00CC4842"/>
    <w:rsid w:val="00CC7198"/>
    <w:rsid w:val="00CC7E5A"/>
    <w:rsid w:val="00CD07AF"/>
    <w:rsid w:val="00CD4A47"/>
    <w:rsid w:val="00CE1B00"/>
    <w:rsid w:val="00CF71E3"/>
    <w:rsid w:val="00D0328F"/>
    <w:rsid w:val="00D069EE"/>
    <w:rsid w:val="00D15962"/>
    <w:rsid w:val="00D20E80"/>
    <w:rsid w:val="00D219E1"/>
    <w:rsid w:val="00D220A7"/>
    <w:rsid w:val="00D22516"/>
    <w:rsid w:val="00D24C4A"/>
    <w:rsid w:val="00D30402"/>
    <w:rsid w:val="00D30D5C"/>
    <w:rsid w:val="00D31A09"/>
    <w:rsid w:val="00D3309F"/>
    <w:rsid w:val="00D33D11"/>
    <w:rsid w:val="00D36158"/>
    <w:rsid w:val="00D43D3C"/>
    <w:rsid w:val="00D45592"/>
    <w:rsid w:val="00D52AF4"/>
    <w:rsid w:val="00D53AA6"/>
    <w:rsid w:val="00D5464D"/>
    <w:rsid w:val="00D612D2"/>
    <w:rsid w:val="00D64333"/>
    <w:rsid w:val="00D719FC"/>
    <w:rsid w:val="00D74C90"/>
    <w:rsid w:val="00D76295"/>
    <w:rsid w:val="00D85161"/>
    <w:rsid w:val="00D900E4"/>
    <w:rsid w:val="00D90769"/>
    <w:rsid w:val="00D91CCC"/>
    <w:rsid w:val="00D92A76"/>
    <w:rsid w:val="00D93B9A"/>
    <w:rsid w:val="00D97617"/>
    <w:rsid w:val="00DA0B67"/>
    <w:rsid w:val="00DA118C"/>
    <w:rsid w:val="00DA4B99"/>
    <w:rsid w:val="00DA5306"/>
    <w:rsid w:val="00DB2B9D"/>
    <w:rsid w:val="00DB7247"/>
    <w:rsid w:val="00DC2142"/>
    <w:rsid w:val="00DC40FB"/>
    <w:rsid w:val="00DC67A3"/>
    <w:rsid w:val="00DC7FED"/>
    <w:rsid w:val="00DD3857"/>
    <w:rsid w:val="00DD687A"/>
    <w:rsid w:val="00DD7A98"/>
    <w:rsid w:val="00DE5142"/>
    <w:rsid w:val="00DF1735"/>
    <w:rsid w:val="00DF7AD6"/>
    <w:rsid w:val="00DF7CE8"/>
    <w:rsid w:val="00E05637"/>
    <w:rsid w:val="00E10B31"/>
    <w:rsid w:val="00E1246B"/>
    <w:rsid w:val="00E13ACE"/>
    <w:rsid w:val="00E200FF"/>
    <w:rsid w:val="00E219B1"/>
    <w:rsid w:val="00E35B55"/>
    <w:rsid w:val="00E40A3B"/>
    <w:rsid w:val="00E43E50"/>
    <w:rsid w:val="00E602AD"/>
    <w:rsid w:val="00E6048B"/>
    <w:rsid w:val="00E61174"/>
    <w:rsid w:val="00E664A5"/>
    <w:rsid w:val="00E66739"/>
    <w:rsid w:val="00E71CBA"/>
    <w:rsid w:val="00E73914"/>
    <w:rsid w:val="00E75834"/>
    <w:rsid w:val="00E76C20"/>
    <w:rsid w:val="00E77E90"/>
    <w:rsid w:val="00E82C71"/>
    <w:rsid w:val="00E842D7"/>
    <w:rsid w:val="00E87D3C"/>
    <w:rsid w:val="00E94B0E"/>
    <w:rsid w:val="00E96ACC"/>
    <w:rsid w:val="00EA3427"/>
    <w:rsid w:val="00EA4B6F"/>
    <w:rsid w:val="00EA4F4C"/>
    <w:rsid w:val="00EB08E1"/>
    <w:rsid w:val="00EB5698"/>
    <w:rsid w:val="00EC3CA6"/>
    <w:rsid w:val="00EC744D"/>
    <w:rsid w:val="00EE0B6D"/>
    <w:rsid w:val="00EE5DA8"/>
    <w:rsid w:val="00EF0AB6"/>
    <w:rsid w:val="00EF0CFD"/>
    <w:rsid w:val="00F004ED"/>
    <w:rsid w:val="00F05A78"/>
    <w:rsid w:val="00F07295"/>
    <w:rsid w:val="00F10CC2"/>
    <w:rsid w:val="00F2113D"/>
    <w:rsid w:val="00F2291B"/>
    <w:rsid w:val="00F2554F"/>
    <w:rsid w:val="00F269A0"/>
    <w:rsid w:val="00F26E21"/>
    <w:rsid w:val="00F327A6"/>
    <w:rsid w:val="00F439C7"/>
    <w:rsid w:val="00F43A8B"/>
    <w:rsid w:val="00F472BD"/>
    <w:rsid w:val="00F550FE"/>
    <w:rsid w:val="00F560FD"/>
    <w:rsid w:val="00F63297"/>
    <w:rsid w:val="00F7713C"/>
    <w:rsid w:val="00F77C03"/>
    <w:rsid w:val="00F801C9"/>
    <w:rsid w:val="00F82682"/>
    <w:rsid w:val="00F850A5"/>
    <w:rsid w:val="00F85159"/>
    <w:rsid w:val="00F87680"/>
    <w:rsid w:val="00FA7F61"/>
    <w:rsid w:val="00FB1DAA"/>
    <w:rsid w:val="00FB1E96"/>
    <w:rsid w:val="00FB657D"/>
    <w:rsid w:val="00FD0D2C"/>
    <w:rsid w:val="00FD2CE7"/>
    <w:rsid w:val="00FD31FA"/>
    <w:rsid w:val="00FD7101"/>
    <w:rsid w:val="00FD747A"/>
    <w:rsid w:val="00FE75FB"/>
    <w:rsid w:val="00FF01E0"/>
    <w:rsid w:val="00FF02E8"/>
    <w:rsid w:val="00FF4463"/>
    <w:rsid w:val="00FF71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1"/>
    </o:shapelayout>
  </w:shapeDefaults>
  <w:decimalSymbol w:val="."/>
  <w:listSeparator w:val=","/>
  <w14:docId w14:val="7C6825B3"/>
  <w15:docId w15:val="{1399692A-2592-4895-BFA1-5BC7C7E1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locked="1"/>
    <w:lsdException w:name="heading 5" w:lock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locked="1" w:semiHidden="1" w:unhideWhenUsed="1"/>
    <w:lsdException w:name="Strong"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lsdException w:name="Medium Shading 1 Accent 1" w:uiPriority="63"/>
    <w:lsdException w:name="Medium Shading 2 Accent 1" w:uiPriority="64"/>
    <w:lsdException w:name="Medium List 1 Accent 1" w:uiPriority="65"/>
    <w:lsdException w:name="Revision" w:semiHidden="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142"/>
    <w:pPr>
      <w:spacing w:line="240" w:lineRule="auto"/>
    </w:pPr>
    <w:rPr>
      <w:rFonts w:ascii="Century Gothic" w:eastAsia="Calibri" w:hAnsi="Century Gothic" w:cs="Calibri"/>
      <w:sz w:val="20"/>
      <w:lang w:val="en-US"/>
    </w:rPr>
  </w:style>
  <w:style w:type="paragraph" w:styleId="Heading1">
    <w:name w:val="heading 1"/>
    <w:basedOn w:val="Normal"/>
    <w:next w:val="Normal"/>
    <w:link w:val="Heading1Char"/>
    <w:uiPriority w:val="99"/>
    <w:qFormat/>
    <w:rsid w:val="00DC2142"/>
    <w:pPr>
      <w:keepNext/>
      <w:keepLines/>
      <w:spacing w:before="240" w:after="240"/>
      <w:outlineLvl w:val="0"/>
    </w:pPr>
    <w:rPr>
      <w:rFonts w:eastAsia="MS ????"/>
      <w:b/>
      <w:bCs/>
      <w:sz w:val="36"/>
      <w:szCs w:val="36"/>
    </w:rPr>
  </w:style>
  <w:style w:type="paragraph" w:styleId="Heading2">
    <w:name w:val="heading 2"/>
    <w:basedOn w:val="Normal"/>
    <w:next w:val="Normal"/>
    <w:link w:val="Heading2Char"/>
    <w:uiPriority w:val="9"/>
    <w:qFormat/>
    <w:rsid w:val="00DC2142"/>
    <w:pPr>
      <w:keepNext/>
      <w:keepLines/>
      <w:spacing w:before="200"/>
      <w:outlineLvl w:val="1"/>
    </w:pPr>
    <w:rPr>
      <w:rFonts w:eastAsia="MS ????"/>
      <w:b/>
      <w:bCs/>
      <w:color w:val="CD6084" w:themeColor="accent5"/>
      <w:sz w:val="24"/>
      <w:szCs w:val="28"/>
    </w:rPr>
  </w:style>
  <w:style w:type="paragraph" w:styleId="Heading3">
    <w:name w:val="heading 3"/>
    <w:basedOn w:val="Normal"/>
    <w:next w:val="Normal"/>
    <w:link w:val="Heading3Char"/>
    <w:autoRedefine/>
    <w:uiPriority w:val="9"/>
    <w:qFormat/>
    <w:rsid w:val="00740CE2"/>
    <w:pPr>
      <w:keepNext/>
      <w:keepLines/>
      <w:outlineLvl w:val="2"/>
    </w:pPr>
    <w:rPr>
      <w:rFonts w:eastAsia="MS ????"/>
      <w:b/>
      <w:bCs/>
      <w:color w:val="291F51" w:themeColor="accent1"/>
      <w:sz w:val="22"/>
      <w:szCs w:val="24"/>
    </w:rPr>
  </w:style>
  <w:style w:type="paragraph" w:styleId="Heading4">
    <w:name w:val="heading 4"/>
    <w:basedOn w:val="Normal"/>
    <w:next w:val="Normal"/>
    <w:link w:val="Heading4Char"/>
    <w:uiPriority w:val="99"/>
    <w:locked/>
    <w:rsid w:val="00DC2142"/>
    <w:pPr>
      <w:keepNext/>
      <w:keepLines/>
      <w:numPr>
        <w:numId w:val="7"/>
      </w:numPr>
      <w:spacing w:before="200" w:after="120"/>
      <w:outlineLvl w:val="3"/>
    </w:pPr>
    <w:rPr>
      <w:rFonts w:eastAsia="MS ????"/>
      <w:b/>
      <w:bCs/>
      <w:sz w:val="24"/>
      <w:szCs w:val="24"/>
    </w:rPr>
  </w:style>
  <w:style w:type="paragraph" w:styleId="Heading5">
    <w:name w:val="heading 5"/>
    <w:basedOn w:val="Normal"/>
    <w:next w:val="Normal"/>
    <w:link w:val="Heading5Char"/>
    <w:uiPriority w:val="99"/>
    <w:locked/>
    <w:rsid w:val="00DC2142"/>
    <w:pPr>
      <w:keepNext/>
      <w:keepLines/>
      <w:spacing w:before="200" w:after="0"/>
      <w:outlineLvl w:val="4"/>
    </w:pPr>
    <w:rPr>
      <w:rFonts w:eastAsia="MS ????"/>
      <w:b/>
      <w:bCs/>
    </w:rPr>
  </w:style>
  <w:style w:type="paragraph" w:styleId="Heading6">
    <w:name w:val="heading 6"/>
    <w:basedOn w:val="Normal"/>
    <w:next w:val="Normal"/>
    <w:link w:val="Heading6Char"/>
    <w:uiPriority w:val="9"/>
    <w:semiHidden/>
    <w:unhideWhenUsed/>
    <w:locked/>
    <w:rsid w:val="0046785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46785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467850"/>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locked/>
    <w:rsid w:val="00467850"/>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locked/>
    <w:rsid w:val="00DC2142"/>
    <w:rPr>
      <w:sz w:val="16"/>
      <w:szCs w:val="16"/>
    </w:rPr>
  </w:style>
  <w:style w:type="paragraph" w:styleId="CommentText">
    <w:name w:val="annotation text"/>
    <w:basedOn w:val="Normal"/>
    <w:link w:val="CommentTextChar"/>
    <w:uiPriority w:val="99"/>
    <w:rsid w:val="00DC2142"/>
    <w:rPr>
      <w:szCs w:val="20"/>
    </w:rPr>
  </w:style>
  <w:style w:type="character" w:customStyle="1" w:styleId="CommentTextChar">
    <w:name w:val="Comment Text Char"/>
    <w:basedOn w:val="DefaultParagraphFont"/>
    <w:link w:val="CommentText"/>
    <w:uiPriority w:val="99"/>
    <w:rsid w:val="00DC2142"/>
    <w:rPr>
      <w:rFonts w:ascii="Century Gothic" w:eastAsia="Calibri" w:hAnsi="Century Gothic" w:cs="Calibri"/>
      <w:sz w:val="20"/>
      <w:szCs w:val="20"/>
      <w:lang w:val="en-US"/>
    </w:rPr>
  </w:style>
  <w:style w:type="paragraph" w:styleId="CommentSubject">
    <w:name w:val="annotation subject"/>
    <w:basedOn w:val="CommentText"/>
    <w:next w:val="CommentText"/>
    <w:link w:val="CommentSubjectChar"/>
    <w:uiPriority w:val="99"/>
    <w:locked/>
    <w:rsid w:val="00DC2142"/>
    <w:rPr>
      <w:b/>
      <w:bCs/>
    </w:rPr>
  </w:style>
  <w:style w:type="character" w:customStyle="1" w:styleId="CommentSubjectChar">
    <w:name w:val="Comment Subject Char"/>
    <w:basedOn w:val="CommentTextChar"/>
    <w:link w:val="CommentSubject"/>
    <w:uiPriority w:val="99"/>
    <w:rsid w:val="00DC2142"/>
    <w:rPr>
      <w:rFonts w:ascii="Century Gothic" w:eastAsia="Calibri" w:hAnsi="Century Gothic" w:cs="Calibri"/>
      <w:b/>
      <w:bCs/>
      <w:sz w:val="20"/>
      <w:szCs w:val="20"/>
      <w:lang w:val="en-US"/>
    </w:rPr>
  </w:style>
  <w:style w:type="paragraph" w:styleId="BalloonText">
    <w:name w:val="Balloon Text"/>
    <w:basedOn w:val="Normal"/>
    <w:link w:val="BalloonTextChar"/>
    <w:uiPriority w:val="99"/>
    <w:locked/>
    <w:rsid w:val="00DC214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C2142"/>
    <w:rPr>
      <w:rFonts w:ascii="Tahoma" w:eastAsia="Calibri" w:hAnsi="Tahoma" w:cs="Tahoma"/>
      <w:sz w:val="16"/>
      <w:szCs w:val="16"/>
      <w:lang w:val="en-US"/>
    </w:rPr>
  </w:style>
  <w:style w:type="paragraph" w:styleId="ListParagraph">
    <w:name w:val="List Paragraph"/>
    <w:basedOn w:val="Normal"/>
    <w:link w:val="ListParagraphChar"/>
    <w:uiPriority w:val="99"/>
    <w:rsid w:val="00DC2142"/>
    <w:pPr>
      <w:ind w:left="720"/>
    </w:pPr>
  </w:style>
  <w:style w:type="character" w:styleId="Hyperlink">
    <w:name w:val="Hyperlink"/>
    <w:basedOn w:val="DefaultParagraphFont"/>
    <w:uiPriority w:val="99"/>
    <w:qFormat/>
    <w:rsid w:val="00DC2142"/>
    <w:rPr>
      <w:rFonts w:ascii="Century Gothic" w:hAnsi="Century Gothic"/>
      <w:color w:val="50ABBF" w:themeColor="accent2"/>
      <w:sz w:val="18"/>
      <w:u w:val="single"/>
    </w:rPr>
  </w:style>
  <w:style w:type="paragraph" w:styleId="NoSpacing">
    <w:name w:val="No Spacing"/>
    <w:uiPriority w:val="99"/>
    <w:rsid w:val="00DC2142"/>
    <w:pPr>
      <w:spacing w:after="0" w:line="240" w:lineRule="auto"/>
    </w:pPr>
    <w:rPr>
      <w:rFonts w:ascii="Calibri" w:eastAsia="Calibri" w:hAnsi="Calibri" w:cs="Calibri"/>
      <w:lang w:val="en-US"/>
    </w:rPr>
  </w:style>
  <w:style w:type="table" w:styleId="TableGrid">
    <w:name w:val="Table Grid"/>
    <w:basedOn w:val="TableNormal"/>
    <w:uiPriority w:val="99"/>
    <w:rsid w:val="00DC2142"/>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DC2142"/>
    <w:rPr>
      <w:rFonts w:ascii="Century Gothic" w:eastAsia="MS ????" w:hAnsi="Century Gothic" w:cs="Calibri"/>
      <w:b/>
      <w:bCs/>
      <w:sz w:val="36"/>
      <w:szCs w:val="36"/>
      <w:lang w:val="en-US"/>
    </w:rPr>
  </w:style>
  <w:style w:type="character" w:customStyle="1" w:styleId="Heading2Char">
    <w:name w:val="Heading 2 Char"/>
    <w:basedOn w:val="DefaultParagraphFont"/>
    <w:link w:val="Heading2"/>
    <w:uiPriority w:val="9"/>
    <w:rsid w:val="00DC2142"/>
    <w:rPr>
      <w:rFonts w:ascii="Century Gothic" w:eastAsia="MS ????" w:hAnsi="Century Gothic" w:cs="Calibri"/>
      <w:b/>
      <w:bCs/>
      <w:color w:val="CD6084" w:themeColor="accent5"/>
      <w:sz w:val="24"/>
      <w:szCs w:val="28"/>
      <w:lang w:val="en-US"/>
    </w:rPr>
  </w:style>
  <w:style w:type="character" w:customStyle="1" w:styleId="Heading3Char">
    <w:name w:val="Heading 3 Char"/>
    <w:basedOn w:val="DefaultParagraphFont"/>
    <w:link w:val="Heading3"/>
    <w:uiPriority w:val="9"/>
    <w:rsid w:val="00740CE2"/>
    <w:rPr>
      <w:rFonts w:ascii="Century Gothic" w:eastAsia="MS ????" w:hAnsi="Century Gothic" w:cs="Calibri"/>
      <w:b/>
      <w:bCs/>
      <w:color w:val="291F51" w:themeColor="accent1"/>
      <w:szCs w:val="24"/>
      <w:lang w:val="en-US"/>
    </w:rPr>
  </w:style>
  <w:style w:type="paragraph" w:styleId="Header">
    <w:name w:val="header"/>
    <w:basedOn w:val="Normal"/>
    <w:link w:val="HeaderChar"/>
    <w:uiPriority w:val="99"/>
    <w:rsid w:val="00DC2142"/>
    <w:pPr>
      <w:tabs>
        <w:tab w:val="center" w:pos="4513"/>
        <w:tab w:val="right" w:pos="9026"/>
      </w:tabs>
      <w:spacing w:after="0"/>
    </w:pPr>
  </w:style>
  <w:style w:type="character" w:customStyle="1" w:styleId="HeaderChar">
    <w:name w:val="Header Char"/>
    <w:basedOn w:val="DefaultParagraphFont"/>
    <w:link w:val="Header"/>
    <w:uiPriority w:val="99"/>
    <w:rsid w:val="00DC2142"/>
    <w:rPr>
      <w:rFonts w:ascii="Century Gothic" w:eastAsia="Calibri" w:hAnsi="Century Gothic" w:cs="Calibri"/>
      <w:sz w:val="20"/>
      <w:lang w:val="en-US"/>
    </w:rPr>
  </w:style>
  <w:style w:type="paragraph" w:styleId="Footer">
    <w:name w:val="footer"/>
    <w:basedOn w:val="Normal"/>
    <w:link w:val="FooterChar"/>
    <w:uiPriority w:val="99"/>
    <w:rsid w:val="00DC2142"/>
    <w:pPr>
      <w:tabs>
        <w:tab w:val="center" w:pos="4513"/>
        <w:tab w:val="right" w:pos="9026"/>
      </w:tabs>
      <w:spacing w:after="0"/>
    </w:pPr>
  </w:style>
  <w:style w:type="character" w:customStyle="1" w:styleId="FooterChar">
    <w:name w:val="Footer Char"/>
    <w:basedOn w:val="DefaultParagraphFont"/>
    <w:link w:val="Footer"/>
    <w:uiPriority w:val="99"/>
    <w:rsid w:val="00DC2142"/>
    <w:rPr>
      <w:rFonts w:ascii="Century Gothic" w:eastAsia="Calibri" w:hAnsi="Century Gothic" w:cs="Calibri"/>
      <w:sz w:val="20"/>
      <w:lang w:val="en-US"/>
    </w:rPr>
  </w:style>
  <w:style w:type="table" w:styleId="LightList-Accent1">
    <w:name w:val="Light List Accent 1"/>
    <w:basedOn w:val="TableNormal"/>
    <w:uiPriority w:val="99"/>
    <w:rsid w:val="00DC2142"/>
    <w:pPr>
      <w:spacing w:after="0" w:line="240" w:lineRule="auto"/>
    </w:pPr>
    <w:rPr>
      <w:rFonts w:ascii="Calibri" w:eastAsia="Calibri" w:hAnsi="Calibri" w:cs="Calibri"/>
      <w:sz w:val="20"/>
      <w:szCs w:val="20"/>
      <w:lang w:val="en-US"/>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99"/>
    <w:rsid w:val="00DC2142"/>
    <w:pPr>
      <w:spacing w:after="0" w:line="240" w:lineRule="auto"/>
    </w:pPr>
    <w:rPr>
      <w:rFonts w:ascii="Calibri" w:eastAsia="Calibri" w:hAnsi="Calibri" w:cs="Calibri"/>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MS ????"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 w:hAnsi="Calibri" w:cs="Calibri"/>
        <w:b/>
        <w:bCs/>
      </w:rPr>
    </w:tblStylePr>
    <w:tblStylePr w:type="lastCol">
      <w:rPr>
        <w:rFonts w:ascii="Calibri" w:eastAsia="MS ????"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tyle1">
    <w:name w:val="Style1"/>
    <w:uiPriority w:val="99"/>
    <w:rsid w:val="00DC2142"/>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DC2142"/>
    <w:pPr>
      <w:spacing w:after="0" w:line="240" w:lineRule="auto"/>
    </w:pPr>
    <w:rPr>
      <w:rFonts w:ascii="Calibri" w:eastAsia="Calibri" w:hAnsi="Calibri" w:cs="Calibri"/>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perscript">
    <w:name w:val="Superscript"/>
    <w:basedOn w:val="DefaultParagraphFont"/>
    <w:uiPriority w:val="99"/>
    <w:semiHidden/>
    <w:rsid w:val="00DC2142"/>
    <w:rPr>
      <w:vertAlign w:val="superscript"/>
    </w:rPr>
  </w:style>
  <w:style w:type="paragraph" w:styleId="FootnoteText">
    <w:name w:val="footnote text"/>
    <w:basedOn w:val="Normal"/>
    <w:link w:val="FootnoteTextChar"/>
    <w:uiPriority w:val="99"/>
    <w:locked/>
    <w:rsid w:val="00DC2142"/>
    <w:pPr>
      <w:spacing w:after="0"/>
    </w:pPr>
    <w:rPr>
      <w:szCs w:val="20"/>
    </w:rPr>
  </w:style>
  <w:style w:type="character" w:customStyle="1" w:styleId="FootnoteTextChar">
    <w:name w:val="Footnote Text Char"/>
    <w:basedOn w:val="DefaultParagraphFont"/>
    <w:link w:val="FootnoteText"/>
    <w:uiPriority w:val="99"/>
    <w:rsid w:val="00DC2142"/>
    <w:rPr>
      <w:rFonts w:ascii="Century Gothic" w:eastAsia="Calibri" w:hAnsi="Century Gothic" w:cs="Calibri"/>
      <w:sz w:val="20"/>
      <w:szCs w:val="20"/>
      <w:lang w:val="en-US"/>
    </w:rPr>
  </w:style>
  <w:style w:type="character" w:styleId="FootnoteReference">
    <w:name w:val="footnote reference"/>
    <w:basedOn w:val="DefaultParagraphFont"/>
    <w:uiPriority w:val="99"/>
    <w:locked/>
    <w:rsid w:val="00DC2142"/>
    <w:rPr>
      <w:vertAlign w:val="superscript"/>
    </w:rPr>
  </w:style>
  <w:style w:type="character" w:styleId="SubtleEmphasis">
    <w:name w:val="Subtle Emphasis"/>
    <w:basedOn w:val="DefaultParagraphFont"/>
    <w:uiPriority w:val="99"/>
    <w:locked/>
    <w:rsid w:val="00DC2142"/>
    <w:rPr>
      <w:rFonts w:ascii="Calibri" w:hAnsi="Calibri" w:cs="Calibri"/>
      <w:i/>
      <w:iCs/>
      <w:color w:val="auto"/>
      <w:sz w:val="22"/>
      <w:szCs w:val="22"/>
    </w:rPr>
  </w:style>
  <w:style w:type="character" w:customStyle="1" w:styleId="Heading4Char">
    <w:name w:val="Heading 4 Char"/>
    <w:basedOn w:val="DefaultParagraphFont"/>
    <w:link w:val="Heading4"/>
    <w:uiPriority w:val="99"/>
    <w:rsid w:val="00DC2142"/>
    <w:rPr>
      <w:rFonts w:ascii="Century Gothic" w:eastAsia="MS ????" w:hAnsi="Century Gothic" w:cs="Calibri"/>
      <w:b/>
      <w:bCs/>
      <w:sz w:val="24"/>
      <w:szCs w:val="24"/>
      <w:lang w:val="en-US"/>
    </w:rPr>
  </w:style>
  <w:style w:type="character" w:customStyle="1" w:styleId="Heading5Char">
    <w:name w:val="Heading 5 Char"/>
    <w:basedOn w:val="DefaultParagraphFont"/>
    <w:link w:val="Heading5"/>
    <w:uiPriority w:val="99"/>
    <w:rsid w:val="00DC2142"/>
    <w:rPr>
      <w:rFonts w:ascii="Century Gothic" w:eastAsia="MS ????" w:hAnsi="Century Gothic" w:cs="Calibri"/>
      <w:b/>
      <w:bCs/>
      <w:sz w:val="20"/>
      <w:lang w:val="en-US"/>
    </w:rPr>
  </w:style>
  <w:style w:type="character" w:customStyle="1" w:styleId="Heading6Char">
    <w:name w:val="Heading 6 Char"/>
    <w:basedOn w:val="DefaultParagraphFont"/>
    <w:link w:val="Heading6"/>
    <w:uiPriority w:val="9"/>
    <w:semiHidden/>
    <w:rsid w:val="0046785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6785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6785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678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46785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6785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locked/>
    <w:rsid w:val="0046785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67850"/>
    <w:rPr>
      <w:rFonts w:asciiTheme="majorHAnsi" w:eastAsiaTheme="majorEastAsia" w:hAnsiTheme="majorHAnsi" w:cstheme="majorBidi"/>
      <w:i/>
      <w:iCs/>
      <w:spacing w:val="13"/>
      <w:sz w:val="24"/>
      <w:szCs w:val="24"/>
    </w:rPr>
  </w:style>
  <w:style w:type="character" w:styleId="Strong">
    <w:name w:val="Strong"/>
    <w:uiPriority w:val="22"/>
    <w:rsid w:val="00467850"/>
    <w:rPr>
      <w:b/>
      <w:bCs/>
    </w:rPr>
  </w:style>
  <w:style w:type="character" w:styleId="Emphasis">
    <w:name w:val="Emphasis"/>
    <w:uiPriority w:val="20"/>
    <w:locked/>
    <w:rsid w:val="00467850"/>
    <w:rPr>
      <w:b/>
      <w:bCs/>
      <w:i/>
      <w:iCs/>
      <w:spacing w:val="10"/>
      <w:bdr w:val="none" w:sz="0" w:space="0" w:color="auto"/>
      <w:shd w:val="clear" w:color="auto" w:fill="auto"/>
    </w:rPr>
  </w:style>
  <w:style w:type="paragraph" w:styleId="Quote">
    <w:name w:val="Quote"/>
    <w:basedOn w:val="Normal"/>
    <w:next w:val="Normal"/>
    <w:link w:val="QuoteChar"/>
    <w:uiPriority w:val="29"/>
    <w:locked/>
    <w:rsid w:val="00467850"/>
    <w:pPr>
      <w:spacing w:before="200" w:after="0"/>
      <w:ind w:left="360" w:right="360"/>
    </w:pPr>
    <w:rPr>
      <w:i/>
      <w:iCs/>
    </w:rPr>
  </w:style>
  <w:style w:type="character" w:customStyle="1" w:styleId="QuoteChar">
    <w:name w:val="Quote Char"/>
    <w:basedOn w:val="DefaultParagraphFont"/>
    <w:link w:val="Quote"/>
    <w:uiPriority w:val="29"/>
    <w:rsid w:val="00467850"/>
    <w:rPr>
      <w:i/>
      <w:iCs/>
    </w:rPr>
  </w:style>
  <w:style w:type="paragraph" w:styleId="IntenseQuote">
    <w:name w:val="Intense Quote"/>
    <w:basedOn w:val="Normal"/>
    <w:next w:val="Normal"/>
    <w:link w:val="IntenseQuoteChar"/>
    <w:uiPriority w:val="30"/>
    <w:locked/>
    <w:rsid w:val="004678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67850"/>
    <w:rPr>
      <w:b/>
      <w:bCs/>
      <w:i/>
      <w:iCs/>
    </w:rPr>
  </w:style>
  <w:style w:type="character" w:styleId="IntenseEmphasis">
    <w:name w:val="Intense Emphasis"/>
    <w:uiPriority w:val="21"/>
    <w:locked/>
    <w:rsid w:val="00467850"/>
    <w:rPr>
      <w:b/>
      <w:bCs/>
    </w:rPr>
  </w:style>
  <w:style w:type="character" w:styleId="SubtleReference">
    <w:name w:val="Subtle Reference"/>
    <w:uiPriority w:val="31"/>
    <w:locked/>
    <w:rsid w:val="00467850"/>
    <w:rPr>
      <w:smallCaps/>
    </w:rPr>
  </w:style>
  <w:style w:type="character" w:styleId="IntenseReference">
    <w:name w:val="Intense Reference"/>
    <w:uiPriority w:val="32"/>
    <w:locked/>
    <w:rsid w:val="00467850"/>
    <w:rPr>
      <w:smallCaps/>
      <w:spacing w:val="5"/>
      <w:u w:val="single"/>
    </w:rPr>
  </w:style>
  <w:style w:type="character" w:styleId="BookTitle">
    <w:name w:val="Book Title"/>
    <w:uiPriority w:val="33"/>
    <w:locked/>
    <w:rsid w:val="00467850"/>
    <w:rPr>
      <w:i/>
      <w:iCs/>
      <w:smallCaps/>
      <w:spacing w:val="5"/>
    </w:rPr>
  </w:style>
  <w:style w:type="paragraph" w:styleId="TOCHeading">
    <w:name w:val="TOC Heading"/>
    <w:basedOn w:val="Heading1"/>
    <w:next w:val="Normal"/>
    <w:uiPriority w:val="39"/>
    <w:semiHidden/>
    <w:unhideWhenUsed/>
    <w:qFormat/>
    <w:locked/>
    <w:rsid w:val="00467850"/>
    <w:pPr>
      <w:outlineLvl w:val="9"/>
    </w:pPr>
    <w:rPr>
      <w:lang w:bidi="en-US"/>
    </w:rPr>
  </w:style>
  <w:style w:type="paragraph" w:styleId="EndnoteText">
    <w:name w:val="endnote text"/>
    <w:basedOn w:val="Normal"/>
    <w:link w:val="EndnoteTextChar"/>
    <w:uiPriority w:val="99"/>
    <w:semiHidden/>
    <w:locked/>
    <w:rsid w:val="00DC2142"/>
    <w:pPr>
      <w:spacing w:after="0"/>
    </w:pPr>
    <w:rPr>
      <w:szCs w:val="20"/>
    </w:rPr>
  </w:style>
  <w:style w:type="character" w:customStyle="1" w:styleId="EndnoteTextChar">
    <w:name w:val="Endnote Text Char"/>
    <w:basedOn w:val="DefaultParagraphFont"/>
    <w:link w:val="EndnoteText"/>
    <w:uiPriority w:val="99"/>
    <w:semiHidden/>
    <w:rsid w:val="00DC2142"/>
    <w:rPr>
      <w:rFonts w:ascii="Century Gothic" w:eastAsia="Calibri" w:hAnsi="Century Gothic" w:cs="Calibri"/>
      <w:sz w:val="20"/>
      <w:szCs w:val="20"/>
      <w:lang w:val="en-US"/>
    </w:rPr>
  </w:style>
  <w:style w:type="character" w:styleId="EndnoteReference">
    <w:name w:val="endnote reference"/>
    <w:basedOn w:val="DefaultParagraphFont"/>
    <w:uiPriority w:val="99"/>
    <w:semiHidden/>
    <w:locked/>
    <w:rsid w:val="00DC2142"/>
    <w:rPr>
      <w:vertAlign w:val="superscript"/>
    </w:rPr>
  </w:style>
  <w:style w:type="paragraph" w:styleId="BodyText">
    <w:name w:val="Body Text"/>
    <w:basedOn w:val="Normal"/>
    <w:link w:val="BodyTextChar"/>
    <w:uiPriority w:val="99"/>
    <w:locked/>
    <w:rsid w:val="00F87680"/>
    <w:pPr>
      <w:ind w:left="3118" w:hanging="567"/>
    </w:pPr>
    <w:rPr>
      <w:rFonts w:ascii="Calibri" w:hAnsi="Calibri" w:cs="Amaranth"/>
      <w:szCs w:val="18"/>
      <w:lang w:eastAsia="en-GB"/>
    </w:rPr>
  </w:style>
  <w:style w:type="character" w:customStyle="1" w:styleId="BodyTextChar">
    <w:name w:val="Body Text Char"/>
    <w:basedOn w:val="DefaultParagraphFont"/>
    <w:link w:val="BodyText"/>
    <w:uiPriority w:val="99"/>
    <w:rsid w:val="00F87680"/>
    <w:rPr>
      <w:rFonts w:ascii="Calibri" w:eastAsia="Calibri" w:hAnsi="Calibri" w:cs="Amaranth"/>
      <w:szCs w:val="18"/>
      <w:lang w:eastAsia="en-GB"/>
    </w:rPr>
  </w:style>
  <w:style w:type="paragraph" w:styleId="Revision">
    <w:name w:val="Revision"/>
    <w:hidden/>
    <w:uiPriority w:val="99"/>
    <w:semiHidden/>
    <w:rsid w:val="003848FA"/>
    <w:pPr>
      <w:spacing w:after="0" w:line="240" w:lineRule="auto"/>
    </w:pPr>
  </w:style>
  <w:style w:type="paragraph" w:customStyle="1" w:styleId="Default">
    <w:name w:val="Default"/>
    <w:rsid w:val="00BB623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character" w:styleId="FollowedHyperlink">
    <w:name w:val="FollowedHyperlink"/>
    <w:basedOn w:val="DefaultParagraphFont"/>
    <w:uiPriority w:val="99"/>
    <w:semiHidden/>
    <w:locked/>
    <w:rsid w:val="00DC2142"/>
    <w:rPr>
      <w:color w:val="800080"/>
      <w:u w:val="single"/>
    </w:rPr>
  </w:style>
  <w:style w:type="numbering" w:customStyle="1" w:styleId="ImportedStyle7">
    <w:name w:val="Imported Style 7"/>
    <w:rsid w:val="00936164"/>
    <w:pPr>
      <w:numPr>
        <w:numId w:val="2"/>
      </w:numPr>
    </w:pPr>
  </w:style>
  <w:style w:type="character" w:customStyle="1" w:styleId="Link">
    <w:name w:val="Link"/>
    <w:rsid w:val="009C6630"/>
    <w:rPr>
      <w:color w:val="50ABBF"/>
      <w:u w:val="single" w:color="50ABBF"/>
      <w:lang w:val="en-US"/>
    </w:rPr>
  </w:style>
  <w:style w:type="numbering" w:customStyle="1" w:styleId="ImportedStyle3">
    <w:name w:val="Imported Style 3"/>
    <w:rsid w:val="009C6630"/>
    <w:pPr>
      <w:numPr>
        <w:numId w:val="3"/>
      </w:numPr>
    </w:pPr>
  </w:style>
  <w:style w:type="numbering" w:customStyle="1" w:styleId="ImportedStyle6">
    <w:name w:val="Imported Style 6"/>
    <w:rsid w:val="009C6630"/>
    <w:pPr>
      <w:numPr>
        <w:numId w:val="4"/>
      </w:numPr>
    </w:pPr>
  </w:style>
  <w:style w:type="character" w:styleId="LineNumber">
    <w:name w:val="line number"/>
    <w:basedOn w:val="DefaultParagraphFont"/>
    <w:uiPriority w:val="99"/>
    <w:semiHidden/>
    <w:locked/>
    <w:rsid w:val="00DC2142"/>
  </w:style>
  <w:style w:type="paragraph" w:styleId="NormalWeb">
    <w:name w:val="Normal (Web)"/>
    <w:basedOn w:val="Normal"/>
    <w:uiPriority w:val="99"/>
    <w:locked/>
    <w:rsid w:val="00DC2142"/>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B26611"/>
    <w:rPr>
      <w:color w:val="808080"/>
      <w:shd w:val="clear" w:color="auto" w:fill="E6E6E6"/>
    </w:rPr>
  </w:style>
  <w:style w:type="character" w:customStyle="1" w:styleId="UnresolvedMention2">
    <w:name w:val="Unresolved Mention2"/>
    <w:basedOn w:val="DefaultParagraphFont"/>
    <w:uiPriority w:val="99"/>
    <w:semiHidden/>
    <w:unhideWhenUsed/>
    <w:rsid w:val="002D2A98"/>
    <w:rPr>
      <w:color w:val="808080"/>
      <w:shd w:val="clear" w:color="auto" w:fill="E6E6E6"/>
    </w:rPr>
  </w:style>
  <w:style w:type="paragraph" w:customStyle="1" w:styleId="Bullets0">
    <w:name w:val="Bullets"/>
    <w:basedOn w:val="Normal"/>
    <w:link w:val="BulletsChar"/>
    <w:rsid w:val="00DC2142"/>
    <w:pPr>
      <w:spacing w:after="40"/>
    </w:pPr>
    <w:rPr>
      <w:rFonts w:eastAsiaTheme="minorHAnsi" w:cstheme="minorBidi"/>
      <w:szCs w:val="18"/>
    </w:rPr>
  </w:style>
  <w:style w:type="character" w:customStyle="1" w:styleId="articletitle">
    <w:name w:val="articletitle"/>
    <w:basedOn w:val="DefaultParagraphFont"/>
    <w:uiPriority w:val="99"/>
    <w:rsid w:val="00DC2142"/>
  </w:style>
  <w:style w:type="paragraph" w:customStyle="1" w:styleId="Body">
    <w:name w:val="Body"/>
    <w:uiPriority w:val="99"/>
    <w:rsid w:val="00DC214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Calibri" w:hAnsi="Helvetica" w:cs="Helvetica"/>
      <w:color w:val="000000"/>
      <w:lang w:val="en-US"/>
    </w:rPr>
  </w:style>
  <w:style w:type="numbering" w:customStyle="1" w:styleId="Bullet">
    <w:name w:val="Bullet"/>
    <w:rsid w:val="00DC2142"/>
    <w:pPr>
      <w:numPr>
        <w:numId w:val="5"/>
      </w:numPr>
    </w:pPr>
  </w:style>
  <w:style w:type="character" w:customStyle="1" w:styleId="BulletsChar">
    <w:name w:val="Bullets Char"/>
    <w:basedOn w:val="DefaultParagraphFont"/>
    <w:link w:val="Bullets0"/>
    <w:rsid w:val="00DC2142"/>
    <w:rPr>
      <w:rFonts w:ascii="Century Gothic" w:eastAsiaTheme="minorHAnsi" w:hAnsi="Century Gothic"/>
      <w:sz w:val="20"/>
      <w:szCs w:val="18"/>
      <w:lang w:val="en-US"/>
    </w:rPr>
  </w:style>
  <w:style w:type="paragraph" w:customStyle="1" w:styleId="bullets">
    <w:name w:val="bullets"/>
    <w:basedOn w:val="Bullets0"/>
    <w:link w:val="bulletsChar0"/>
    <w:qFormat/>
    <w:rsid w:val="00B5082F"/>
    <w:pPr>
      <w:numPr>
        <w:numId w:val="6"/>
      </w:numPr>
      <w:spacing w:after="120"/>
      <w:ind w:left="568" w:hanging="284"/>
    </w:pPr>
  </w:style>
  <w:style w:type="character" w:customStyle="1" w:styleId="bulletsChar0">
    <w:name w:val="bullets Char"/>
    <w:basedOn w:val="BulletsChar"/>
    <w:link w:val="bullets"/>
    <w:rsid w:val="00B5082F"/>
    <w:rPr>
      <w:rFonts w:ascii="Century Gothic" w:eastAsiaTheme="minorHAnsi" w:hAnsi="Century Gothic"/>
      <w:sz w:val="20"/>
      <w:szCs w:val="18"/>
      <w:lang w:val="en-US"/>
    </w:rPr>
  </w:style>
  <w:style w:type="paragraph" w:customStyle="1" w:styleId="bullet2">
    <w:name w:val="bullet 2"/>
    <w:basedOn w:val="bullets"/>
    <w:link w:val="bullet2Char"/>
    <w:qFormat/>
    <w:rsid w:val="00DC2142"/>
    <w:pPr>
      <w:ind w:left="851"/>
    </w:pPr>
  </w:style>
  <w:style w:type="character" w:customStyle="1" w:styleId="bullet2Char">
    <w:name w:val="bullet 2 Char"/>
    <w:basedOn w:val="bulletsChar0"/>
    <w:link w:val="bullet2"/>
    <w:rsid w:val="00DC2142"/>
    <w:rPr>
      <w:rFonts w:ascii="Century Gothic" w:eastAsiaTheme="minorHAnsi" w:hAnsi="Century Gothic"/>
      <w:sz w:val="20"/>
      <w:szCs w:val="18"/>
      <w:lang w:val="en-US"/>
    </w:rPr>
  </w:style>
  <w:style w:type="paragraph" w:customStyle="1" w:styleId="Footnote">
    <w:name w:val="Footnote"/>
    <w:link w:val="FootnoteChar"/>
    <w:uiPriority w:val="99"/>
    <w:rsid w:val="00DC214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Calibri" w:hAnsi="Helvetica" w:cs="Helvetica"/>
      <w:color w:val="000000"/>
      <w:lang w:val="en-US"/>
    </w:rPr>
  </w:style>
  <w:style w:type="character" w:customStyle="1" w:styleId="FootnoteChar">
    <w:name w:val="Footnote Char"/>
    <w:basedOn w:val="DefaultParagraphFont"/>
    <w:link w:val="Footnote"/>
    <w:uiPriority w:val="99"/>
    <w:rsid w:val="00DC2142"/>
    <w:rPr>
      <w:rFonts w:ascii="Helvetica" w:eastAsia="Calibri" w:hAnsi="Helvetica" w:cs="Helvetica"/>
      <w:color w:val="000000"/>
      <w:lang w:val="en-US"/>
    </w:rPr>
  </w:style>
  <w:style w:type="paragraph" w:customStyle="1" w:styleId="FootnoteTextA">
    <w:name w:val="Footnote Text A"/>
    <w:uiPriority w:val="99"/>
    <w:rsid w:val="00DC2142"/>
    <w:pPr>
      <w:spacing w:after="0" w:line="240" w:lineRule="auto"/>
    </w:pPr>
    <w:rPr>
      <w:rFonts w:ascii="Helvetica" w:eastAsia="?????? Pro W3" w:hAnsi="Helvetica" w:cs="Helvetica"/>
      <w:color w:val="000000"/>
      <w:sz w:val="20"/>
      <w:szCs w:val="20"/>
      <w:lang w:val="en-US"/>
    </w:rPr>
  </w:style>
  <w:style w:type="paragraph" w:customStyle="1" w:styleId="FootnoteText1">
    <w:name w:val="Footnote Text1"/>
    <w:uiPriority w:val="99"/>
    <w:rsid w:val="00DC2142"/>
    <w:pPr>
      <w:spacing w:after="0" w:line="240" w:lineRule="auto"/>
    </w:pPr>
    <w:rPr>
      <w:rFonts w:ascii="Helvetica" w:eastAsia="?????? Pro W3" w:hAnsi="Helvetica" w:cs="Helvetica"/>
      <w:color w:val="000000"/>
      <w:sz w:val="20"/>
      <w:szCs w:val="20"/>
      <w:lang w:val="en-US"/>
    </w:rPr>
  </w:style>
  <w:style w:type="paragraph" w:customStyle="1" w:styleId="Heading51">
    <w:name w:val="Heading 51"/>
    <w:next w:val="Normal"/>
    <w:uiPriority w:val="99"/>
    <w:rsid w:val="00DC2142"/>
    <w:pPr>
      <w:keepNext/>
      <w:keepLines/>
      <w:spacing w:before="200" w:after="0" w:line="240" w:lineRule="auto"/>
      <w:outlineLvl w:val="4"/>
    </w:pPr>
    <w:rPr>
      <w:rFonts w:ascii="Tipo de letra del sistema Fina" w:eastAsia="?????? Pro W3" w:hAnsi="Tipo de letra del sistema Fina" w:cs="Tipo de letra del sistema Fina"/>
      <w:b/>
      <w:bCs/>
      <w:color w:val="000000"/>
      <w:lang w:val="en-US"/>
    </w:rPr>
  </w:style>
  <w:style w:type="character" w:customStyle="1" w:styleId="Hyperlink1">
    <w:name w:val="Hyperlink1"/>
    <w:uiPriority w:val="99"/>
    <w:rsid w:val="00DC2142"/>
    <w:rPr>
      <w:color w:val="auto"/>
      <w:sz w:val="22"/>
      <w:szCs w:val="22"/>
      <w:u w:val="single"/>
    </w:rPr>
  </w:style>
  <w:style w:type="character" w:customStyle="1" w:styleId="ListParagraphChar">
    <w:name w:val="List Paragraph Char"/>
    <w:basedOn w:val="DefaultParagraphFont"/>
    <w:link w:val="ListParagraph"/>
    <w:uiPriority w:val="99"/>
    <w:rsid w:val="00DC2142"/>
    <w:rPr>
      <w:rFonts w:ascii="Century Gothic" w:eastAsia="Calibri" w:hAnsi="Century Gothic" w:cs="Calibri"/>
      <w:sz w:val="20"/>
      <w:lang w:val="en-US"/>
    </w:rPr>
  </w:style>
  <w:style w:type="paragraph" w:customStyle="1" w:styleId="Normal1">
    <w:name w:val="Normal1"/>
    <w:uiPriority w:val="99"/>
    <w:rsid w:val="00DC2142"/>
    <w:pPr>
      <w:spacing w:line="240" w:lineRule="auto"/>
    </w:pPr>
    <w:rPr>
      <w:rFonts w:ascii="Times" w:eastAsia="?????? Pro W3" w:hAnsi="Times" w:cs="Times"/>
      <w:color w:val="000000"/>
      <w:sz w:val="28"/>
      <w:szCs w:val="28"/>
      <w:lang w:val="en-US"/>
    </w:rPr>
  </w:style>
  <w:style w:type="paragraph" w:customStyle="1" w:styleId="recommendation">
    <w:name w:val="recommendation"/>
    <w:basedOn w:val="ListParagraph"/>
    <w:link w:val="recommendationChar"/>
    <w:qFormat/>
    <w:rsid w:val="00B5082F"/>
    <w:pPr>
      <w:numPr>
        <w:ilvl w:val="1"/>
        <w:numId w:val="7"/>
      </w:numPr>
      <w:ind w:left="567" w:hanging="567"/>
    </w:pPr>
    <w:rPr>
      <w:lang w:eastAsia="en-GB"/>
    </w:rPr>
  </w:style>
  <w:style w:type="character" w:customStyle="1" w:styleId="recommendationChar">
    <w:name w:val="recommendation Char"/>
    <w:basedOn w:val="ListParagraphChar"/>
    <w:link w:val="recommendation"/>
    <w:rsid w:val="00B5082F"/>
    <w:rPr>
      <w:rFonts w:ascii="Century Gothic" w:eastAsia="Calibri" w:hAnsi="Century Gothic" w:cs="Calibri"/>
      <w:sz w:val="20"/>
      <w:lang w:val="en-US" w:eastAsia="en-GB"/>
    </w:rPr>
  </w:style>
  <w:style w:type="paragraph" w:customStyle="1" w:styleId="References">
    <w:name w:val="References"/>
    <w:basedOn w:val="Footnote"/>
    <w:link w:val="ReferencesChar"/>
    <w:qFormat/>
    <w:rsid w:val="00DC2142"/>
    <w:pPr>
      <w:pBdr>
        <w:top w:val="none" w:sz="0" w:space="0" w:color="auto"/>
        <w:left w:val="none" w:sz="0" w:space="0" w:color="auto"/>
        <w:bottom w:val="none" w:sz="0" w:space="0" w:color="auto"/>
        <w:right w:val="none" w:sz="0" w:space="0" w:color="auto"/>
        <w:bar w:val="none" w:sz="0" w:color="auto"/>
      </w:pBdr>
      <w:spacing w:after="80"/>
      <w:ind w:left="426" w:hanging="426"/>
    </w:pPr>
    <w:rPr>
      <w:rFonts w:ascii="Century Gothic" w:hAnsi="Century Gothic" w:cs="Calibri"/>
      <w:sz w:val="18"/>
      <w:szCs w:val="18"/>
    </w:rPr>
  </w:style>
  <w:style w:type="character" w:customStyle="1" w:styleId="ReferencesChar">
    <w:name w:val="References Char"/>
    <w:basedOn w:val="FootnoteChar"/>
    <w:link w:val="References"/>
    <w:rsid w:val="00DC2142"/>
    <w:rPr>
      <w:rFonts w:ascii="Century Gothic" w:eastAsia="Calibri" w:hAnsi="Century Gothic" w:cs="Calibri"/>
      <w:color w:val="000000"/>
      <w:sz w:val="18"/>
      <w:szCs w:val="18"/>
      <w:lang w:val="en-US"/>
    </w:rPr>
  </w:style>
  <w:style w:type="table" w:customStyle="1" w:styleId="TableGrid1">
    <w:name w:val="Table Grid1"/>
    <w:uiPriority w:val="99"/>
    <w:rsid w:val="00DC2142"/>
    <w:pPr>
      <w:spacing w:after="0" w:line="240" w:lineRule="auto"/>
    </w:pPr>
    <w:rPr>
      <w:rFonts w:ascii="Calibri" w:eastAsia="Calibri"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C21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6809">
      <w:bodyDiv w:val="1"/>
      <w:marLeft w:val="0"/>
      <w:marRight w:val="0"/>
      <w:marTop w:val="0"/>
      <w:marBottom w:val="0"/>
      <w:divBdr>
        <w:top w:val="none" w:sz="0" w:space="0" w:color="auto"/>
        <w:left w:val="none" w:sz="0" w:space="0" w:color="auto"/>
        <w:bottom w:val="none" w:sz="0" w:space="0" w:color="auto"/>
        <w:right w:val="none" w:sz="0" w:space="0" w:color="auto"/>
      </w:divBdr>
    </w:div>
    <w:div w:id="543906422">
      <w:bodyDiv w:val="1"/>
      <w:marLeft w:val="0"/>
      <w:marRight w:val="0"/>
      <w:marTop w:val="0"/>
      <w:marBottom w:val="0"/>
      <w:divBdr>
        <w:top w:val="none" w:sz="0" w:space="0" w:color="auto"/>
        <w:left w:val="none" w:sz="0" w:space="0" w:color="auto"/>
        <w:bottom w:val="none" w:sz="0" w:space="0" w:color="auto"/>
        <w:right w:val="none" w:sz="0" w:space="0" w:color="auto"/>
      </w:divBdr>
    </w:div>
    <w:div w:id="665059693">
      <w:bodyDiv w:val="1"/>
      <w:marLeft w:val="0"/>
      <w:marRight w:val="0"/>
      <w:marTop w:val="0"/>
      <w:marBottom w:val="0"/>
      <w:divBdr>
        <w:top w:val="none" w:sz="0" w:space="0" w:color="auto"/>
        <w:left w:val="none" w:sz="0" w:space="0" w:color="auto"/>
        <w:bottom w:val="none" w:sz="0" w:space="0" w:color="auto"/>
        <w:right w:val="none" w:sz="0" w:space="0" w:color="auto"/>
      </w:divBdr>
    </w:div>
    <w:div w:id="877012923">
      <w:bodyDiv w:val="1"/>
      <w:marLeft w:val="0"/>
      <w:marRight w:val="0"/>
      <w:marTop w:val="0"/>
      <w:marBottom w:val="0"/>
      <w:divBdr>
        <w:top w:val="none" w:sz="0" w:space="0" w:color="auto"/>
        <w:left w:val="none" w:sz="0" w:space="0" w:color="auto"/>
        <w:bottom w:val="none" w:sz="0" w:space="0" w:color="auto"/>
        <w:right w:val="none" w:sz="0" w:space="0" w:color="auto"/>
      </w:divBdr>
    </w:div>
    <w:div w:id="1246652562">
      <w:bodyDiv w:val="1"/>
      <w:marLeft w:val="0"/>
      <w:marRight w:val="0"/>
      <w:marTop w:val="0"/>
      <w:marBottom w:val="0"/>
      <w:divBdr>
        <w:top w:val="none" w:sz="0" w:space="0" w:color="auto"/>
        <w:left w:val="none" w:sz="0" w:space="0" w:color="auto"/>
        <w:bottom w:val="none" w:sz="0" w:space="0" w:color="auto"/>
        <w:right w:val="none" w:sz="0" w:space="0" w:color="auto"/>
      </w:divBdr>
    </w:div>
    <w:div w:id="1611474582">
      <w:bodyDiv w:val="1"/>
      <w:marLeft w:val="0"/>
      <w:marRight w:val="0"/>
      <w:marTop w:val="0"/>
      <w:marBottom w:val="0"/>
      <w:divBdr>
        <w:top w:val="none" w:sz="0" w:space="0" w:color="auto"/>
        <w:left w:val="none" w:sz="0" w:space="0" w:color="auto"/>
        <w:bottom w:val="none" w:sz="0" w:space="0" w:color="auto"/>
        <w:right w:val="none" w:sz="0" w:space="0" w:color="auto"/>
      </w:divBdr>
    </w:div>
    <w:div w:id="17658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coa.ac.uk/gpas2019" TargetMode="External"/><Relationship Id="rId18" Type="http://schemas.openxmlformats.org/officeDocument/2006/relationships/hyperlink" Target="http://naccsgbi.org.uk/membership/the-nasgbi-linkman-scheme/" TargetMode="External"/><Relationship Id="rId26" Type="http://schemas.openxmlformats.org/officeDocument/2006/relationships/hyperlink" Target="http://www.rcoa.ac.uk/gpas" TargetMode="External"/><Relationship Id="rId3" Type="http://schemas.openxmlformats.org/officeDocument/2006/relationships/styles" Target="styles.xml"/><Relationship Id="rId21" Type="http://schemas.openxmlformats.org/officeDocument/2006/relationships/hyperlink" Target="http://www.rcoa.ac.uk/sites/default/files/GPAS-ProcessDoc2015.pdf" TargetMode="External"/><Relationship Id="rId7" Type="http://schemas.openxmlformats.org/officeDocument/2006/relationships/endnotes" Target="endnotes.xml"/><Relationship Id="rId12" Type="http://schemas.openxmlformats.org/officeDocument/2006/relationships/hyperlink" Target="https://www.rcoa.ac.uk/gpas2019" TargetMode="External"/><Relationship Id="rId17" Type="http://schemas.openxmlformats.org/officeDocument/2006/relationships/hyperlink" Target="https://www.rcoa.ac.uk/gpas2019"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rcoa.ac.uk/gpas2019" TargetMode="External"/><Relationship Id="rId20" Type="http://schemas.openxmlformats.org/officeDocument/2006/relationships/image" Target="media/image1.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a.ac.uk/gpas2019" TargetMode="External"/><Relationship Id="rId24" Type="http://schemas.openxmlformats.org/officeDocument/2006/relationships/hyperlink" Target="http://www.rcoa.ac.uk/sites/default/files/GPAS-ProcessDoc2015.pdf" TargetMode="External"/><Relationship Id="rId5" Type="http://schemas.openxmlformats.org/officeDocument/2006/relationships/webSettings" Target="webSettings.xml"/><Relationship Id="rId15" Type="http://schemas.openxmlformats.org/officeDocument/2006/relationships/hyperlink" Target="https://www.rcoa.ac.uk/gpas2019" TargetMode="External"/><Relationship Id="rId23" Type="http://schemas.openxmlformats.org/officeDocument/2006/relationships/hyperlink" Target="mailto:GPAS@rcoa.ac.uk" TargetMode="External"/><Relationship Id="rId28" Type="http://schemas.openxmlformats.org/officeDocument/2006/relationships/fontTable" Target="fontTable.xml"/><Relationship Id="rId10" Type="http://schemas.openxmlformats.org/officeDocument/2006/relationships/hyperlink" Target="http://www.rcoa.ac.uk/sites/default/files/GPAS-ProcessDoc2015.pdf" TargetMode="External"/><Relationship Id="rId19" Type="http://schemas.openxmlformats.org/officeDocument/2006/relationships/hyperlink" Target="https://www.rcoa.ac.uk/gpas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coa.ac.uk/gpas2019" TargetMode="External"/><Relationship Id="rId22" Type="http://schemas.openxmlformats.org/officeDocument/2006/relationships/hyperlink" Target="http://www.rcoa.ac.uk/sites/default/files/GPAS-ProcessDoc2015.pdf" TargetMode="External"/><Relationship Id="rId27" Type="http://schemas.openxmlformats.org/officeDocument/2006/relationships/hyperlink" Target="mailto:gpas@rcoa.ac.u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bit.ly/1vI8Y60" TargetMode="External"/><Relationship Id="rId13" Type="http://schemas.openxmlformats.org/officeDocument/2006/relationships/hyperlink" Target="http://bit.ly/1K6fRY2" TargetMode="External"/><Relationship Id="rId18" Type="http://schemas.openxmlformats.org/officeDocument/2006/relationships/hyperlink" Target="http://bit.ly/1ntNhpO" TargetMode="External"/><Relationship Id="rId3" Type="http://schemas.openxmlformats.org/officeDocument/2006/relationships/hyperlink" Target="http://bit.ly/1UlL360" TargetMode="External"/><Relationship Id="rId7" Type="http://schemas.openxmlformats.org/officeDocument/2006/relationships/hyperlink" Target="http://bit.ly/2p7UvTu" TargetMode="External"/><Relationship Id="rId12" Type="http://schemas.openxmlformats.org/officeDocument/2006/relationships/hyperlink" Target="http://bit.ly/1cQ6tkS" TargetMode="External"/><Relationship Id="rId17" Type="http://schemas.openxmlformats.org/officeDocument/2006/relationships/hyperlink" Target="http://bit.ly/1Hz3HDZ" TargetMode="External"/><Relationship Id="rId2" Type="http://schemas.openxmlformats.org/officeDocument/2006/relationships/hyperlink" Target="http://bit.ly/1Kzj6SP" TargetMode="External"/><Relationship Id="rId16" Type="http://schemas.openxmlformats.org/officeDocument/2006/relationships/hyperlink" Target="http://bit.ly/2cFQKQN" TargetMode="External"/><Relationship Id="rId1" Type="http://schemas.openxmlformats.org/officeDocument/2006/relationships/hyperlink" Target="https://bit.ly/2PPiJgQ" TargetMode="External"/><Relationship Id="rId6" Type="http://schemas.openxmlformats.org/officeDocument/2006/relationships/hyperlink" Target="http://bit.ly/2vLtBoN" TargetMode="External"/><Relationship Id="rId11" Type="http://schemas.openxmlformats.org/officeDocument/2006/relationships/hyperlink" Target="http://bit.ly/2vLskOZ" TargetMode="External"/><Relationship Id="rId5" Type="http://schemas.openxmlformats.org/officeDocument/2006/relationships/hyperlink" Target="http://bit.ly/2FTAKpK" TargetMode="External"/><Relationship Id="rId15" Type="http://schemas.openxmlformats.org/officeDocument/2006/relationships/hyperlink" Target="http://bit.ly/2jDj4lz" TargetMode="External"/><Relationship Id="rId10" Type="http://schemas.openxmlformats.org/officeDocument/2006/relationships/hyperlink" Target="http://bit.ly/2paCfss" TargetMode="External"/><Relationship Id="rId19" Type="http://schemas.openxmlformats.org/officeDocument/2006/relationships/hyperlink" Target="http://bit.ly/2wDApVr" TargetMode="External"/><Relationship Id="rId4" Type="http://schemas.openxmlformats.org/officeDocument/2006/relationships/hyperlink" Target="http://bit.ly/2wOj2OD" TargetMode="External"/><Relationship Id="rId9" Type="http://schemas.openxmlformats.org/officeDocument/2006/relationships/hyperlink" Target="http://bit.ly/2pgjhAX" TargetMode="External"/><Relationship Id="rId14" Type="http://schemas.openxmlformats.org/officeDocument/2006/relationships/hyperlink" Target="http://bit.ly/2lkzPTb" TargetMode="External"/></Relationships>
</file>

<file path=word/theme/theme1.xml><?xml version="1.0" encoding="utf-8"?>
<a:theme xmlns:a="http://schemas.openxmlformats.org/drawingml/2006/main" name="RCoAThem">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348B-8D70-4145-BBCD-EAB051F0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61CC3081.dotm</Template>
  <TotalTime>11</TotalTime>
  <Pages>24</Pages>
  <Words>7659</Words>
  <Characters>43658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51215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Veasey</dc:creator>
  <cp:keywords/>
  <dc:description/>
  <cp:lastModifiedBy>Nicola Hancock</cp:lastModifiedBy>
  <cp:revision>6</cp:revision>
  <cp:lastPrinted>2018-03-02T09:43:00Z</cp:lastPrinted>
  <dcterms:created xsi:type="dcterms:W3CDTF">2019-01-22T09:17:00Z</dcterms:created>
  <dcterms:modified xsi:type="dcterms:W3CDTF">2019-02-04T14:49:00Z</dcterms:modified>
</cp:coreProperties>
</file>