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F0F5" w14:textId="77777777" w:rsidR="00C25968" w:rsidRPr="009D1CC5" w:rsidRDefault="00C25968" w:rsidP="0048790A">
      <w:pPr>
        <w:pStyle w:val="Heading2"/>
      </w:pPr>
      <w:r w:rsidRPr="009D1CC5">
        <w:t>GPAS guidelines in context</w:t>
      </w:r>
    </w:p>
    <w:p w14:paraId="5DF20041" w14:textId="6643A92B" w:rsidR="008A3DC2" w:rsidRDefault="00467850" w:rsidP="00917CEE">
      <w:r w:rsidRPr="00467850">
        <w:t xml:space="preserve">The </w:t>
      </w:r>
      <w:r w:rsidR="000F5CBB">
        <w:t>GPAS</w:t>
      </w:r>
      <w:r w:rsidRPr="00467850">
        <w:t xml:space="preserve"> documents should be viewed as ‘living </w:t>
      </w:r>
      <w:proofErr w:type="gramStart"/>
      <w:r w:rsidRPr="00467850">
        <w:t>documents’</w:t>
      </w:r>
      <w:proofErr w:type="gramEnd"/>
      <w:r w:rsidRPr="00467850">
        <w:t>. The</w:t>
      </w:r>
      <w:r>
        <w:t xml:space="preserve"> </w:t>
      </w:r>
      <w:r w:rsidRPr="00467850">
        <w:t xml:space="preserve">GPAS </w:t>
      </w:r>
      <w:r w:rsidR="00456C18">
        <w:t>g</w:t>
      </w:r>
      <w:r w:rsidRPr="00467850">
        <w:t>uidelines development, implementation and review should be seen not as a linear process, but as a cycle of</w:t>
      </w:r>
      <w:r>
        <w:t xml:space="preserve"> </w:t>
      </w:r>
      <w:r w:rsidRPr="00467850">
        <w:t>interdependent activities. These in turn are part of a range of activities to translate evidence into practice, set standards</w:t>
      </w:r>
      <w:r>
        <w:t xml:space="preserve"> </w:t>
      </w:r>
      <w:r w:rsidRPr="00467850">
        <w:t>and promote clinical excellence in patient care.</w:t>
      </w:r>
    </w:p>
    <w:p w14:paraId="7B9B3387" w14:textId="77777777" w:rsidR="003507A3" w:rsidRDefault="00467850" w:rsidP="003507A3">
      <w:r w:rsidRPr="00467850">
        <w:t xml:space="preserve">Each of the GPAS chapters should be seen as independent but interlinked documents. </w:t>
      </w:r>
      <w:r w:rsidR="003507A3">
        <w:t xml:space="preserve">Guidelines on the general provision of anaesthetic services are detailed in the following chapters: </w:t>
      </w:r>
    </w:p>
    <w:p w14:paraId="0C14BDC1" w14:textId="6B6594AD" w:rsidR="003507A3" w:rsidRPr="00250C08" w:rsidRDefault="00000000" w:rsidP="00DC3965">
      <w:pPr>
        <w:pStyle w:val="bullets"/>
        <w:numPr>
          <w:ilvl w:val="0"/>
          <w:numId w:val="2"/>
        </w:numPr>
        <w:ind w:left="568" w:hanging="284"/>
        <w:rPr>
          <w:rFonts w:asciiTheme="minorHAnsi" w:hAnsiTheme="minorHAnsi"/>
          <w:szCs w:val="20"/>
        </w:rPr>
      </w:pPr>
      <w:hyperlink r:id="rId8" w:history="1">
        <w:r w:rsidR="003507A3">
          <w:rPr>
            <w:rStyle w:val="Hyperlink"/>
            <w:rFonts w:asciiTheme="minorHAnsi" w:hAnsiTheme="minorHAnsi"/>
            <w:sz w:val="20"/>
            <w:szCs w:val="20"/>
          </w:rPr>
          <w:t>C</w:t>
        </w:r>
        <w:r w:rsidR="003507A3" w:rsidRPr="00250C08">
          <w:rPr>
            <w:rStyle w:val="Hyperlink"/>
            <w:rFonts w:asciiTheme="minorHAnsi" w:hAnsiTheme="minorHAnsi"/>
            <w:sz w:val="20"/>
            <w:szCs w:val="20"/>
          </w:rPr>
          <w:t>hapter 1: Guidelines for the Provision of Anaesthesia Services: The Good department</w:t>
        </w:r>
      </w:hyperlink>
    </w:p>
    <w:p w14:paraId="6934087C" w14:textId="780223F5" w:rsidR="003507A3" w:rsidRPr="003507A3" w:rsidRDefault="00000000" w:rsidP="00DC3965">
      <w:pPr>
        <w:pStyle w:val="bullets"/>
        <w:numPr>
          <w:ilvl w:val="0"/>
          <w:numId w:val="2"/>
        </w:numPr>
        <w:ind w:left="568" w:hanging="284"/>
        <w:rPr>
          <w:rFonts w:asciiTheme="minorHAnsi" w:hAnsiTheme="minorHAnsi"/>
          <w:szCs w:val="20"/>
        </w:rPr>
      </w:pPr>
      <w:hyperlink r:id="rId9" w:history="1">
        <w:r w:rsidR="003507A3">
          <w:rPr>
            <w:rStyle w:val="Hyperlink"/>
            <w:sz w:val="20"/>
            <w:szCs w:val="20"/>
          </w:rPr>
          <w:t>C</w:t>
        </w:r>
        <w:r w:rsidR="003507A3" w:rsidRPr="00250C08">
          <w:rPr>
            <w:rStyle w:val="Hyperlink"/>
            <w:sz w:val="20"/>
            <w:szCs w:val="20"/>
          </w:rPr>
          <w:t>hapter 2: Guidelines for the Provision of Anaesthesia Services for the Perioperative Care of Elective and Urgent Care Patients</w:t>
        </w:r>
      </w:hyperlink>
      <w:r w:rsidR="003507A3" w:rsidRPr="00250C08">
        <w:rPr>
          <w:szCs w:val="20"/>
        </w:rPr>
        <w:t xml:space="preserve">.  </w:t>
      </w:r>
    </w:p>
    <w:p w14:paraId="0DC130AE" w14:textId="47C459B9" w:rsidR="00467850" w:rsidRDefault="00467850" w:rsidP="00917CEE">
      <w:r w:rsidRPr="00467850">
        <w:t>These guidelines apply to all patients who require anaesthesia or sedation and are under the care of an anaesthetist.</w:t>
      </w:r>
      <w:r>
        <w:t xml:space="preserve"> </w:t>
      </w:r>
      <w:r w:rsidRPr="00467850">
        <w:t xml:space="preserve">For urgent or immediate emergency interventions, this guidance may need to be modified as described in </w:t>
      </w:r>
      <w:hyperlink r:id="rId10" w:history="1">
        <w:r w:rsidR="003507A3" w:rsidRPr="003507A3">
          <w:rPr>
            <w:rStyle w:val="Hyperlink"/>
            <w:sz w:val="20"/>
          </w:rPr>
          <w:t>Chapter 5: Guidelines for the Provision of Emergency Anaesthesia</w:t>
        </w:r>
      </w:hyperlink>
      <w:r w:rsidR="003507A3">
        <w:t>.</w:t>
      </w:r>
      <w:r w:rsidR="003507A3" w:rsidRPr="003507A3">
        <w:t xml:space="preserve"> </w:t>
      </w:r>
    </w:p>
    <w:p w14:paraId="666122A1" w14:textId="77777777" w:rsidR="003507A3" w:rsidRPr="00522143" w:rsidRDefault="003507A3" w:rsidP="003507A3">
      <w:r w:rsidRPr="00522143">
        <w:t xml:space="preserve">The rest of the chapters of GPAS apply only to the population groups and settings outlined in the ‘Scope’ section of these chapters. They outline guidance that is additional, </w:t>
      </w:r>
      <w:proofErr w:type="gramStart"/>
      <w:r w:rsidRPr="00522143">
        <w:t>different</w:t>
      </w:r>
      <w:proofErr w:type="gramEnd"/>
      <w:r w:rsidRPr="00522143">
        <w:t xml:space="preserve"> or particularly important to those population groups and settings included in the ‘Scope’. Unless otherwise stated within the chapter, the recommendations outlined in chapters </w:t>
      </w:r>
      <w:r>
        <w:t>1</w:t>
      </w:r>
      <w:r w:rsidRPr="00522143">
        <w:t>–5 still apply.</w:t>
      </w:r>
    </w:p>
    <w:p w14:paraId="25B22A45" w14:textId="7E8D3511" w:rsidR="003507A3" w:rsidRPr="003507A3" w:rsidRDefault="003507A3" w:rsidP="00917CEE">
      <w:r w:rsidRPr="00522143">
        <w:t>Each chapter will undergo yearly review</w:t>
      </w:r>
      <w:r w:rsidR="00033942">
        <w:t xml:space="preserve"> </w:t>
      </w:r>
      <w:r w:rsidRPr="00522143">
        <w:t>and will be continuously updated in the light of new evidence.</w:t>
      </w:r>
    </w:p>
    <w:p w14:paraId="19AECFEE" w14:textId="77777777" w:rsidR="00467850" w:rsidRDefault="00467850" w:rsidP="00652FCC">
      <w:r w:rsidRPr="00467850">
        <w:t>Guidelines alone will not result in better treatment and care for patients. Local and national implementation is crucial for</w:t>
      </w:r>
      <w:r>
        <w:t xml:space="preserve"> </w:t>
      </w:r>
      <w:r w:rsidRPr="00467850">
        <w:t xml:space="preserve">changes in practice necessary for improvements in treatment and patient care. </w:t>
      </w:r>
    </w:p>
    <w:p w14:paraId="626BA085" w14:textId="38D1AE27" w:rsidR="00D5464D" w:rsidRPr="009D1CC5" w:rsidRDefault="00C94F81" w:rsidP="0048790A">
      <w:pPr>
        <w:pStyle w:val="Heading2"/>
      </w:pPr>
      <w:r w:rsidRPr="009D1CC5">
        <w:t xml:space="preserve">Aims and </w:t>
      </w:r>
      <w:r w:rsidR="00100C85">
        <w:t>o</w:t>
      </w:r>
      <w:r w:rsidRPr="009D1CC5">
        <w:t>bjectives</w:t>
      </w:r>
    </w:p>
    <w:p w14:paraId="55F9FDF5" w14:textId="7CF92BB5" w:rsidR="00467850" w:rsidRPr="00DD7E94" w:rsidRDefault="00467850" w:rsidP="00652FCC">
      <w:r w:rsidRPr="00467850">
        <w:t xml:space="preserve">The objective of this chapter is to promote current best practice for service provision </w:t>
      </w:r>
      <w:r w:rsidR="003507A3">
        <w:t xml:space="preserve">in </w:t>
      </w:r>
      <w:r w:rsidR="00DF64E7">
        <w:t xml:space="preserve">regional </w:t>
      </w:r>
      <w:r w:rsidR="003507A3">
        <w:t xml:space="preserve">anaesthesia </w:t>
      </w:r>
      <w:r w:rsidR="003507A3" w:rsidRPr="00DD7E94">
        <w:t xml:space="preserve">services </w:t>
      </w:r>
      <w:r w:rsidR="00917CEE" w:rsidRPr="00DD7E94">
        <w:t>throughout the patient pathway</w:t>
      </w:r>
      <w:r w:rsidRPr="00DD7E94">
        <w:t>. The guidance is intended for use by anaesthetists with responsibilities for service delivery and healthcare managers.</w:t>
      </w:r>
    </w:p>
    <w:p w14:paraId="72909291" w14:textId="3AD47AC9" w:rsidR="00467850" w:rsidRPr="00DD7E94" w:rsidRDefault="00467850" w:rsidP="00652FCC">
      <w:r w:rsidRPr="00DD7E94">
        <w:t xml:space="preserve">This guideline does not comprehensively describe clinical best practice in </w:t>
      </w:r>
      <w:r w:rsidR="00DF64E7">
        <w:t xml:space="preserve">regional </w:t>
      </w:r>
      <w:r w:rsidR="007C6F47" w:rsidRPr="00DD7E94">
        <w:t>anaesthesia services</w:t>
      </w:r>
      <w:r w:rsidR="00DD7E94" w:rsidRPr="00DD7E94">
        <w:t xml:space="preserve"> </w:t>
      </w:r>
      <w:r w:rsidRPr="00DD7E94">
        <w:t xml:space="preserve">but is primarily concerned with the requirements for the provision of a safe, effective, well-led service, which may be delivered by many different acceptable models. The guidance on provision of </w:t>
      </w:r>
      <w:r w:rsidR="00DF64E7">
        <w:t xml:space="preserve">regional </w:t>
      </w:r>
      <w:r w:rsidR="007C6F47" w:rsidRPr="00DD7E94">
        <w:t>anaesthesia services</w:t>
      </w:r>
      <w:r w:rsidR="00DD7E94" w:rsidRPr="00DD7E94">
        <w:t xml:space="preserve"> </w:t>
      </w:r>
      <w:r w:rsidRPr="00DD7E94">
        <w:t>applies to all settings where this is</w:t>
      </w:r>
      <w:r w:rsidR="00A52073" w:rsidRPr="00DD7E94">
        <w:t xml:space="preserve"> </w:t>
      </w:r>
      <w:r w:rsidRPr="00DD7E94">
        <w:t xml:space="preserve">undertaken, regardless of funding. All age groups are included within the guidance unless </w:t>
      </w:r>
      <w:r w:rsidR="00A52073" w:rsidRPr="00DD7E94">
        <w:t>o</w:t>
      </w:r>
      <w:r w:rsidRPr="00DD7E94">
        <w:t>therwise stated, reflecting</w:t>
      </w:r>
      <w:r w:rsidR="00A52073" w:rsidRPr="00DD7E94">
        <w:t xml:space="preserve"> </w:t>
      </w:r>
      <w:r w:rsidRPr="00DD7E94">
        <w:t>the broad nature of th</w:t>
      </w:r>
      <w:r w:rsidR="003E0B66" w:rsidRPr="00DD7E94">
        <w:t>ese</w:t>
      </w:r>
      <w:r w:rsidRPr="00DD7E94">
        <w:t xml:space="preserve"> service</w:t>
      </w:r>
      <w:r w:rsidR="003E0B66" w:rsidRPr="00DD7E94">
        <w:t>s</w:t>
      </w:r>
      <w:r w:rsidRPr="00DD7E94">
        <w:t>.</w:t>
      </w:r>
    </w:p>
    <w:p w14:paraId="2F53BA77" w14:textId="560C249E" w:rsidR="00467850" w:rsidRPr="00467850" w:rsidRDefault="00467850" w:rsidP="00652FCC">
      <w:r w:rsidRPr="00467850">
        <w:t>A wide range of evidence has been rigorously reviewed during the production of this chapter, including</w:t>
      </w:r>
      <w:r w:rsidR="00A52073">
        <w:t xml:space="preserve"> </w:t>
      </w:r>
      <w:r w:rsidRPr="00467850">
        <w:t>recommendations from peer-reviewed publications and national guidance where available. However, both the authors</w:t>
      </w:r>
      <w:r w:rsidR="00A52073">
        <w:t xml:space="preserve"> </w:t>
      </w:r>
      <w:r w:rsidRPr="00467850">
        <w:t xml:space="preserve">and the </w:t>
      </w:r>
      <w:r w:rsidR="00652FCC">
        <w:t>CDG</w:t>
      </w:r>
      <w:r w:rsidRPr="00467850">
        <w:t xml:space="preserve"> agreed that there is a paucity of </w:t>
      </w:r>
      <w:r w:rsidR="00917CEE">
        <w:t>l</w:t>
      </w:r>
      <w:r w:rsidRPr="00467850">
        <w:t xml:space="preserve">evel 1 evidence relating to </w:t>
      </w:r>
      <w:r w:rsidR="00917CEE">
        <w:t>anaesthesia service provision</w:t>
      </w:r>
      <w:r w:rsidRPr="00467850">
        <w:t>. In some cases</w:t>
      </w:r>
      <w:r w:rsidR="00652FCC">
        <w:t>,</w:t>
      </w:r>
      <w:r w:rsidRPr="00467850">
        <w:t xml:space="preserve"> it has been necessary to include recommendations of good practice based</w:t>
      </w:r>
      <w:r w:rsidR="00A52073">
        <w:t xml:space="preserve"> </w:t>
      </w:r>
      <w:r w:rsidRPr="00467850">
        <w:t xml:space="preserve">on the clinical experience of the </w:t>
      </w:r>
      <w:r w:rsidR="00652FCC">
        <w:t>CDG</w:t>
      </w:r>
      <w:r w:rsidRPr="00467850">
        <w:t>. We hope that this document will act as a stimulus to</w:t>
      </w:r>
      <w:r w:rsidR="00A52073">
        <w:t xml:space="preserve"> </w:t>
      </w:r>
      <w:r w:rsidRPr="00467850">
        <w:t>future research.</w:t>
      </w:r>
    </w:p>
    <w:p w14:paraId="7BCA9889" w14:textId="3E50139D" w:rsidR="008A3DC2" w:rsidRDefault="00467850" w:rsidP="00E31EBF">
      <w:pPr>
        <w:rPr>
          <w:rFonts w:asciiTheme="majorHAnsi" w:eastAsiaTheme="majorEastAsia" w:hAnsiTheme="majorHAnsi" w:cstheme="majorBidi"/>
          <w:b/>
          <w:bCs/>
          <w:color w:val="CD6084" w:themeColor="accent5"/>
          <w:sz w:val="24"/>
          <w:szCs w:val="26"/>
        </w:rPr>
      </w:pPr>
      <w:r w:rsidRPr="00467850">
        <w:t xml:space="preserve">The recommendations in this chapter will support the RCoA’s Anaesthesia Clinical Services Accreditation </w:t>
      </w:r>
      <w:r w:rsidR="00652FCC">
        <w:t xml:space="preserve">(ACSA) </w:t>
      </w:r>
      <w:r w:rsidRPr="00467850">
        <w:t xml:space="preserve">process. </w:t>
      </w:r>
    </w:p>
    <w:p w14:paraId="3F97BFBB" w14:textId="4F689FE3" w:rsidR="00D5464D" w:rsidRPr="009D1CC5" w:rsidRDefault="00D5464D" w:rsidP="0048790A">
      <w:pPr>
        <w:pStyle w:val="Heading2"/>
      </w:pPr>
      <w:r w:rsidRPr="009D1CC5">
        <w:lastRenderedPageBreak/>
        <w:t>Scope</w:t>
      </w:r>
    </w:p>
    <w:p w14:paraId="3BA34FD0" w14:textId="5A24A9CE" w:rsidR="0060509C" w:rsidRPr="009D1CC5" w:rsidRDefault="0060509C" w:rsidP="00C510D7">
      <w:pPr>
        <w:pStyle w:val="Heading3"/>
      </w:pPr>
      <w:r w:rsidRPr="009D1CC5">
        <w:t xml:space="preserve">Target </w:t>
      </w:r>
      <w:r w:rsidR="00100C85">
        <w:t>a</w:t>
      </w:r>
      <w:r w:rsidRPr="009D1CC5">
        <w:t>udience</w:t>
      </w:r>
    </w:p>
    <w:p w14:paraId="0339A11A" w14:textId="3939E25B" w:rsidR="003D6CB8" w:rsidRDefault="007C6F47" w:rsidP="0048790A">
      <w:r w:rsidRPr="007C6F47">
        <w:t xml:space="preserve">All staff groups </w:t>
      </w:r>
      <w:r w:rsidRPr="00DD7E94">
        <w:t xml:space="preserve">working in </w:t>
      </w:r>
      <w:r w:rsidR="00DD7E94" w:rsidRPr="00DD7E94">
        <w:t>regional anaesthesia</w:t>
      </w:r>
      <w:r w:rsidRPr="007C6F47">
        <w:t>, including (but not restricted to) anaesthetists</w:t>
      </w:r>
      <w:r w:rsidR="0048348B">
        <w:t>,</w:t>
      </w:r>
      <w:r w:rsidR="00BC39B8">
        <w:t xml:space="preserve"> </w:t>
      </w:r>
      <w:r w:rsidR="00B03B37">
        <w:t>s</w:t>
      </w:r>
      <w:r w:rsidR="00B03B37" w:rsidRPr="00B03B37">
        <w:t xml:space="preserve">taff grade, associate </w:t>
      </w:r>
      <w:proofErr w:type="gramStart"/>
      <w:r w:rsidR="00B03B37" w:rsidRPr="00B03B37">
        <w:t>specialist</w:t>
      </w:r>
      <w:proofErr w:type="gramEnd"/>
      <w:r w:rsidR="00B03B37" w:rsidRPr="00B03B37">
        <w:t xml:space="preserve"> and specialty </w:t>
      </w:r>
      <w:r w:rsidR="00BC39B8">
        <w:t>(SAS) anaesthetists,</w:t>
      </w:r>
      <w:r w:rsidRPr="007C6F47">
        <w:t xml:space="preserve"> anaesthetists</w:t>
      </w:r>
      <w:r w:rsidR="00BD3FF8">
        <w:t xml:space="preserve"> in training</w:t>
      </w:r>
      <w:r w:rsidR="008F7BD5">
        <w:t>,</w:t>
      </w:r>
      <w:r w:rsidR="00EB5119">
        <w:t xml:space="preserve"> </w:t>
      </w:r>
      <w:r w:rsidR="008F7BD5">
        <w:t>operating department practitioners</w:t>
      </w:r>
      <w:r w:rsidR="003D6802">
        <w:t>, anaesthesia associates (AAs),</w:t>
      </w:r>
      <w:r w:rsidR="008F7BD5">
        <w:t xml:space="preserve"> </w:t>
      </w:r>
      <w:r w:rsidR="005145C8" w:rsidRPr="007C6F47">
        <w:t>nurses</w:t>
      </w:r>
      <w:r w:rsidR="003D6802">
        <w:t>, allied health professionals and pharmacy staff</w:t>
      </w:r>
      <w:r w:rsidR="00373168">
        <w:t>.</w:t>
      </w:r>
    </w:p>
    <w:p w14:paraId="54E6214F" w14:textId="54E7C8B3" w:rsidR="0060509C" w:rsidRPr="009D1CC5" w:rsidRDefault="0060509C" w:rsidP="00C510D7">
      <w:pPr>
        <w:pStyle w:val="Heading3"/>
      </w:pPr>
      <w:r w:rsidRPr="009D1CC5">
        <w:t xml:space="preserve">Target </w:t>
      </w:r>
      <w:r w:rsidR="00100C85">
        <w:t>p</w:t>
      </w:r>
      <w:r w:rsidRPr="009D1CC5">
        <w:t>opulation</w:t>
      </w:r>
    </w:p>
    <w:p w14:paraId="5CC2C722" w14:textId="77777777" w:rsidR="003D6802" w:rsidRPr="00DD7E94" w:rsidRDefault="003D6802" w:rsidP="003D6802">
      <w:pPr>
        <w:pStyle w:val="bullet2"/>
        <w:numPr>
          <w:ilvl w:val="0"/>
          <w:numId w:val="0"/>
        </w:numPr>
      </w:pPr>
      <w:r w:rsidRPr="008D1FFC">
        <w:t>Groups that will be covered</w:t>
      </w:r>
      <w:r>
        <w:t>:</w:t>
      </w:r>
    </w:p>
    <w:p w14:paraId="375E4F19" w14:textId="047731D6" w:rsidR="003D6802" w:rsidRPr="00DD7E94" w:rsidRDefault="003D6802" w:rsidP="00DC3965">
      <w:pPr>
        <w:pStyle w:val="bullet2"/>
        <w:numPr>
          <w:ilvl w:val="0"/>
          <w:numId w:val="2"/>
        </w:numPr>
      </w:pPr>
      <w:r w:rsidRPr="00DD7E94">
        <w:t xml:space="preserve">all ages of patients undergoing </w:t>
      </w:r>
      <w:r w:rsidR="00DD7E94" w:rsidRPr="00DD7E94">
        <w:t>regional anaesthesia</w:t>
      </w:r>
      <w:r w:rsidRPr="00DD7E94">
        <w:t xml:space="preserve">. </w:t>
      </w:r>
    </w:p>
    <w:p w14:paraId="380D5391" w14:textId="77777777" w:rsidR="003D6802" w:rsidRPr="008D1FFC" w:rsidRDefault="003D6802" w:rsidP="003D6802">
      <w:pPr>
        <w:pStyle w:val="bullet2"/>
        <w:numPr>
          <w:ilvl w:val="0"/>
          <w:numId w:val="0"/>
        </w:numPr>
      </w:pPr>
      <w:r w:rsidRPr="008D1FFC">
        <w:t>Groups that will not be covered</w:t>
      </w:r>
      <w:r>
        <w:t>:</w:t>
      </w:r>
    </w:p>
    <w:p w14:paraId="1DE45CA4" w14:textId="6C17F4D4" w:rsidR="003D6802" w:rsidRPr="003D6802" w:rsidRDefault="003D6802" w:rsidP="00DC3965">
      <w:pPr>
        <w:pStyle w:val="bullet2"/>
        <w:numPr>
          <w:ilvl w:val="0"/>
          <w:numId w:val="2"/>
        </w:numPr>
        <w:rPr>
          <w:b/>
        </w:rPr>
      </w:pPr>
      <w:r>
        <w:t>p</w:t>
      </w:r>
      <w:r w:rsidRPr="008D1FFC">
        <w:t xml:space="preserve">rovision of </w:t>
      </w:r>
      <w:r w:rsidR="00DF64E7">
        <w:t xml:space="preserve">regional </w:t>
      </w:r>
      <w:r>
        <w:t>anaesthesia</w:t>
      </w:r>
      <w:r w:rsidRPr="008D1FFC">
        <w:t xml:space="preserve"> services provided by a specialty other than anaesthesia</w:t>
      </w:r>
      <w:r>
        <w:t xml:space="preserve">. </w:t>
      </w:r>
      <w:r w:rsidRPr="00B27EDE">
        <w:t>Where non-anaesthetists provide such services, they are advised to follow the guidance of their own College.</w:t>
      </w:r>
    </w:p>
    <w:p w14:paraId="5A122053" w14:textId="0128C5F6" w:rsidR="0060509C" w:rsidRPr="009D1CC5" w:rsidRDefault="0060509C" w:rsidP="00C510D7">
      <w:pPr>
        <w:pStyle w:val="Heading3"/>
      </w:pPr>
      <w:r w:rsidRPr="009D1CC5">
        <w:t xml:space="preserve">Healthcare </w:t>
      </w:r>
      <w:r w:rsidR="00100C85">
        <w:t>s</w:t>
      </w:r>
      <w:r w:rsidRPr="009D1CC5">
        <w:t>etting</w:t>
      </w:r>
    </w:p>
    <w:p w14:paraId="046F04E5" w14:textId="54C0EE3F" w:rsidR="007C6F47" w:rsidRDefault="007C6F47" w:rsidP="008A3DC2">
      <w:pPr>
        <w:rPr>
          <w:b/>
          <w:bCs/>
        </w:rPr>
      </w:pPr>
      <w:r w:rsidRPr="007C6F47">
        <w:t xml:space="preserve">All settings within the hospital in which </w:t>
      </w:r>
      <w:r w:rsidR="00DF64E7">
        <w:t xml:space="preserve">regional </w:t>
      </w:r>
      <w:r w:rsidRPr="007C6F47">
        <w:t xml:space="preserve">anaesthesia </w:t>
      </w:r>
      <w:r w:rsidR="00917CEE">
        <w:t xml:space="preserve">services </w:t>
      </w:r>
      <w:r w:rsidRPr="00DD7E94">
        <w:t xml:space="preserve">are </w:t>
      </w:r>
      <w:r w:rsidRPr="007C6F47">
        <w:t>provided</w:t>
      </w:r>
      <w:r w:rsidR="00FE2884">
        <w:t>.</w:t>
      </w:r>
    </w:p>
    <w:p w14:paraId="321B7885" w14:textId="5284C0A4" w:rsidR="0060509C" w:rsidRPr="009D1CC5" w:rsidRDefault="0060509C" w:rsidP="00C510D7">
      <w:pPr>
        <w:pStyle w:val="Heading3"/>
      </w:pPr>
      <w:r w:rsidRPr="009D1CC5">
        <w:t xml:space="preserve">Clinical </w:t>
      </w:r>
      <w:r w:rsidR="00100C85">
        <w:t>m</w:t>
      </w:r>
      <w:r w:rsidRPr="009D1CC5">
        <w:t>anagement</w:t>
      </w:r>
    </w:p>
    <w:p w14:paraId="4ECE5AB0" w14:textId="7096FDA1" w:rsidR="003D6802" w:rsidRPr="00DD7E94" w:rsidRDefault="000F5CBB" w:rsidP="000F5CBB">
      <w:pPr>
        <w:pStyle w:val="bullets"/>
        <w:numPr>
          <w:ilvl w:val="0"/>
          <w:numId w:val="0"/>
        </w:numPr>
      </w:pPr>
      <w:r w:rsidRPr="00DD7E94">
        <w:t>K</w:t>
      </w:r>
      <w:r w:rsidR="007C6F47" w:rsidRPr="00DD7E94">
        <w:t xml:space="preserve">ey components needed to ensure provision of </w:t>
      </w:r>
      <w:r w:rsidR="006846F9" w:rsidRPr="00DD7E94">
        <w:t>high-quality</w:t>
      </w:r>
      <w:r w:rsidR="007C6F47" w:rsidRPr="00DD7E94">
        <w:t xml:space="preserve"> </w:t>
      </w:r>
      <w:r w:rsidR="00DF64E7">
        <w:t xml:space="preserve">regional </w:t>
      </w:r>
      <w:r w:rsidR="007C6F47" w:rsidRPr="00DD7E94">
        <w:t>an</w:t>
      </w:r>
      <w:r w:rsidR="002A37C5" w:rsidRPr="00DD7E94">
        <w:t>a</w:t>
      </w:r>
      <w:r w:rsidR="00917CEE" w:rsidRPr="00DD7E94">
        <w:t>esthe</w:t>
      </w:r>
      <w:r w:rsidR="00DF64E7">
        <w:t>sia</w:t>
      </w:r>
      <w:r w:rsidR="00917CEE" w:rsidRPr="00DD7E94">
        <w:t xml:space="preserve"> services</w:t>
      </w:r>
      <w:r w:rsidR="003D6802" w:rsidRPr="00DD7E94">
        <w:t>.</w:t>
      </w:r>
    </w:p>
    <w:p w14:paraId="7313174D" w14:textId="71C027F4" w:rsidR="003D6802" w:rsidRPr="00DD7E94" w:rsidRDefault="003D6802" w:rsidP="000F5CBB">
      <w:pPr>
        <w:pStyle w:val="bullets"/>
        <w:numPr>
          <w:ilvl w:val="0"/>
          <w:numId w:val="0"/>
        </w:numPr>
      </w:pPr>
      <w:r w:rsidRPr="00DD7E94">
        <w:t xml:space="preserve">Areas of provision </w:t>
      </w:r>
      <w:r w:rsidR="000F25DB" w:rsidRPr="00DD7E94">
        <w:t>considered</w:t>
      </w:r>
      <w:r w:rsidRPr="00DD7E94">
        <w:t xml:space="preserve">: </w:t>
      </w:r>
    </w:p>
    <w:p w14:paraId="6F1C3334" w14:textId="7B73B740" w:rsidR="00C65206" w:rsidRPr="00DD7E94" w:rsidRDefault="00DA6E40" w:rsidP="00DC3965">
      <w:pPr>
        <w:pStyle w:val="bullets"/>
        <w:numPr>
          <w:ilvl w:val="0"/>
          <w:numId w:val="6"/>
        </w:numPr>
      </w:pPr>
      <w:r>
        <w:t>Service organisation and administration</w:t>
      </w:r>
    </w:p>
    <w:p w14:paraId="33B4B9C1" w14:textId="20C28695" w:rsidR="00C65206" w:rsidRPr="00DD7E94" w:rsidRDefault="00DA6E40" w:rsidP="00DC3965">
      <w:pPr>
        <w:pStyle w:val="bullets"/>
        <w:numPr>
          <w:ilvl w:val="0"/>
          <w:numId w:val="6"/>
        </w:numPr>
      </w:pPr>
      <w:r>
        <w:t>Staffing requirements</w:t>
      </w:r>
    </w:p>
    <w:p w14:paraId="0A47772D" w14:textId="1607D44C" w:rsidR="00C65206" w:rsidRPr="00DD7E94" w:rsidRDefault="00DA6E40" w:rsidP="00DC3965">
      <w:pPr>
        <w:pStyle w:val="bullets"/>
        <w:numPr>
          <w:ilvl w:val="0"/>
          <w:numId w:val="6"/>
        </w:numPr>
      </w:pPr>
      <w:r>
        <w:t xml:space="preserve">Equipment, </w:t>
      </w:r>
      <w:proofErr w:type="gramStart"/>
      <w:r>
        <w:t>services</w:t>
      </w:r>
      <w:proofErr w:type="gramEnd"/>
      <w:r>
        <w:t xml:space="preserve"> and facilities</w:t>
      </w:r>
    </w:p>
    <w:p w14:paraId="38F3257B" w14:textId="53E33D7C" w:rsidR="00C65206" w:rsidRPr="00DD7E94" w:rsidRDefault="00DA6E40" w:rsidP="00DC3965">
      <w:pPr>
        <w:pStyle w:val="bullets"/>
        <w:numPr>
          <w:ilvl w:val="0"/>
          <w:numId w:val="6"/>
        </w:numPr>
      </w:pPr>
      <w:r>
        <w:t xml:space="preserve">Preoperative assessment, intraoperative </w:t>
      </w:r>
      <w:proofErr w:type="gramStart"/>
      <w:r>
        <w:t>monitoring</w:t>
      </w:r>
      <w:proofErr w:type="gramEnd"/>
      <w:r>
        <w:t xml:space="preserve"> and the postoperative period</w:t>
      </w:r>
    </w:p>
    <w:p w14:paraId="7B2AAEAF" w14:textId="2950A145" w:rsidR="00C65206" w:rsidRDefault="00C65206" w:rsidP="00DC3965">
      <w:pPr>
        <w:pStyle w:val="bullets"/>
        <w:numPr>
          <w:ilvl w:val="0"/>
          <w:numId w:val="6"/>
        </w:numPr>
      </w:pPr>
      <w:r w:rsidRPr="00DD7E94">
        <w:t>Training and education</w:t>
      </w:r>
    </w:p>
    <w:p w14:paraId="46A65703" w14:textId="538C217D" w:rsidR="00DA6E40" w:rsidRPr="00DD7E94" w:rsidRDefault="00DA6E40" w:rsidP="00DC3965">
      <w:pPr>
        <w:pStyle w:val="bullets"/>
        <w:numPr>
          <w:ilvl w:val="0"/>
          <w:numId w:val="6"/>
        </w:numPr>
      </w:pPr>
      <w:r>
        <w:t>Areas of special requirement</w:t>
      </w:r>
    </w:p>
    <w:p w14:paraId="7580A1A5" w14:textId="6391BD99" w:rsidR="00C65206" w:rsidRPr="00DD7E94" w:rsidRDefault="00C65206" w:rsidP="00DC3965">
      <w:pPr>
        <w:pStyle w:val="bullets"/>
        <w:numPr>
          <w:ilvl w:val="0"/>
          <w:numId w:val="6"/>
        </w:numPr>
      </w:pPr>
      <w:r w:rsidRPr="00DD7E94">
        <w:t xml:space="preserve">Research, </w:t>
      </w:r>
      <w:proofErr w:type="gramStart"/>
      <w:r w:rsidRPr="00DD7E94">
        <w:t>audit</w:t>
      </w:r>
      <w:proofErr w:type="gramEnd"/>
      <w:r w:rsidRPr="00DD7E94">
        <w:t xml:space="preserve"> and quality improvement </w:t>
      </w:r>
    </w:p>
    <w:p w14:paraId="1314E8F3" w14:textId="065A4528" w:rsidR="00C65206" w:rsidRPr="00DD7E94" w:rsidRDefault="00C65206" w:rsidP="00DC3965">
      <w:pPr>
        <w:pStyle w:val="bullets"/>
        <w:numPr>
          <w:ilvl w:val="0"/>
          <w:numId w:val="6"/>
        </w:numPr>
      </w:pPr>
      <w:r w:rsidRPr="00DD7E94">
        <w:t xml:space="preserve">Patient information </w:t>
      </w:r>
    </w:p>
    <w:p w14:paraId="1CE825B3" w14:textId="286570B3" w:rsidR="00547751" w:rsidRPr="00DD7E94" w:rsidRDefault="00547751" w:rsidP="00DC3965">
      <w:pPr>
        <w:pStyle w:val="bullets"/>
        <w:numPr>
          <w:ilvl w:val="0"/>
          <w:numId w:val="6"/>
        </w:numPr>
      </w:pPr>
      <w:r w:rsidRPr="00DD7E94">
        <w:t xml:space="preserve">Implementation support. </w:t>
      </w:r>
    </w:p>
    <w:p w14:paraId="05F40D98" w14:textId="77777777" w:rsidR="00561789" w:rsidRPr="009D1CC5" w:rsidRDefault="00561789" w:rsidP="00C510D7">
      <w:pPr>
        <w:pStyle w:val="Heading3"/>
      </w:pPr>
      <w:r w:rsidRPr="009D1CC5">
        <w:t>Exclusions</w:t>
      </w:r>
    </w:p>
    <w:p w14:paraId="53074351" w14:textId="77777777" w:rsidR="0012178B" w:rsidRPr="00D623E7" w:rsidRDefault="0012178B" w:rsidP="0012178B">
      <w:pPr>
        <w:pStyle w:val="bullet2"/>
        <w:numPr>
          <w:ilvl w:val="0"/>
          <w:numId w:val="0"/>
        </w:numPr>
        <w:ind w:left="360" w:hanging="360"/>
      </w:pPr>
      <w:r w:rsidRPr="008D1FFC">
        <w:t>Issues that will not be covered</w:t>
      </w:r>
      <w:r>
        <w:t>:</w:t>
      </w:r>
    </w:p>
    <w:p w14:paraId="58AE6AF8" w14:textId="34B62010" w:rsidR="0012178B" w:rsidRPr="008D1FFC" w:rsidRDefault="00534EE2" w:rsidP="00DC3965">
      <w:pPr>
        <w:pStyle w:val="bullet2"/>
        <w:numPr>
          <w:ilvl w:val="0"/>
          <w:numId w:val="2"/>
        </w:numPr>
      </w:pPr>
      <w:r>
        <w:t>C</w:t>
      </w:r>
      <w:r w:rsidR="0012178B" w:rsidRPr="004A2A20">
        <w:t>linical</w:t>
      </w:r>
      <w:r w:rsidR="0012178B" w:rsidRPr="008D1FFC">
        <w:t xml:space="preserve"> guidelines specifying how healthcare professionals should care for patients</w:t>
      </w:r>
    </w:p>
    <w:p w14:paraId="364A7F31" w14:textId="341EC62F" w:rsidR="0012178B" w:rsidRDefault="00534EE2" w:rsidP="00DC3965">
      <w:pPr>
        <w:pStyle w:val="bullet2"/>
        <w:numPr>
          <w:ilvl w:val="0"/>
          <w:numId w:val="2"/>
        </w:numPr>
      </w:pPr>
      <w:r>
        <w:t>I</w:t>
      </w:r>
      <w:r w:rsidR="0012178B">
        <w:t xml:space="preserve">ssues that can only be implemented on a </w:t>
      </w:r>
      <w:r w:rsidR="006846F9">
        <w:t>n</w:t>
      </w:r>
      <w:r w:rsidR="006846F9" w:rsidRPr="008D1FFC">
        <w:t>ational level</w:t>
      </w:r>
    </w:p>
    <w:p w14:paraId="08C16B30" w14:textId="77777777" w:rsidR="002B3136" w:rsidRDefault="002B3136" w:rsidP="0073423B">
      <w:pPr>
        <w:pStyle w:val="bullet2"/>
        <w:numPr>
          <w:ilvl w:val="0"/>
          <w:numId w:val="0"/>
        </w:numPr>
        <w:ind w:left="720"/>
      </w:pPr>
    </w:p>
    <w:p w14:paraId="68C13B49" w14:textId="77777777" w:rsidR="002B3136" w:rsidRDefault="002B3136" w:rsidP="0073423B">
      <w:pPr>
        <w:pStyle w:val="bullet2"/>
        <w:numPr>
          <w:ilvl w:val="0"/>
          <w:numId w:val="0"/>
        </w:numPr>
        <w:ind w:left="720"/>
      </w:pPr>
    </w:p>
    <w:p w14:paraId="63A363BC" w14:textId="77777777" w:rsidR="009F03E9" w:rsidRDefault="00267DF2" w:rsidP="008A3DC2">
      <w:pPr>
        <w:pStyle w:val="Heading2"/>
      </w:pPr>
      <w:r w:rsidRPr="00C47638">
        <w:lastRenderedPageBreak/>
        <w:t>Introduction</w:t>
      </w:r>
    </w:p>
    <w:p w14:paraId="638DC495" w14:textId="4118F56D" w:rsidR="00534EE2" w:rsidRDefault="007651C4" w:rsidP="005E6FBF">
      <w:r>
        <w:t>Regional anaesthesia (RA) is an important component of anaesthetic practice. It includes neuraxial and peripheral nerve block techniques which may be used for either perioperative anaesthesia or analgesia, as well as other non-surgical indications such as chronic pain and traumatic rib fractures. The practice of RA has changed significantly, particularly over the past three decades</w:t>
      </w:r>
      <w:r w:rsidR="005E6FBF">
        <w:rPr>
          <w:rStyle w:val="EndnoteReference"/>
        </w:rPr>
        <w:endnoteReference w:id="1"/>
      </w:r>
      <w:r w:rsidR="005E6FBF">
        <w:t xml:space="preserve">. </w:t>
      </w:r>
      <w:r w:rsidR="00534EE2">
        <w:t>The introduction of ultrasound technology has stimulated both a renaissance in popularity and the development of many new blocks, most notably fascial plane blocks</w:t>
      </w:r>
      <w:bookmarkStart w:id="0" w:name="_Ref163034112"/>
      <w:r w:rsidR="00534EE2" w:rsidRPr="00B4747A">
        <w:rPr>
          <w:rStyle w:val="EndnoteReference"/>
        </w:rPr>
        <w:endnoteReference w:id="2"/>
      </w:r>
      <w:bookmarkEnd w:id="0"/>
      <w:r w:rsidR="00534EE2" w:rsidRPr="00B4747A">
        <w:rPr>
          <w:sz w:val="18"/>
          <w:szCs w:val="20"/>
          <w:vertAlign w:val="superscript"/>
        </w:rPr>
        <w:t>,</w:t>
      </w:r>
      <w:r w:rsidR="005E6FBF">
        <w:t>.</w:t>
      </w:r>
      <w:r w:rsidR="00534EE2" w:rsidRPr="00534EE2">
        <w:t xml:space="preserve"> </w:t>
      </w:r>
      <w:r w:rsidR="00534EE2">
        <w:t>More importantly, ultrasound has improved the safety and effectiveness of RA techniques (</w:t>
      </w:r>
      <w:r w:rsidR="006846F9">
        <w:t>C, D</w:t>
      </w:r>
      <w:r w:rsidR="00534EE2">
        <w:t xml:space="preserve">) albeit finite risks </w:t>
      </w:r>
      <w:proofErr w:type="gramStart"/>
      <w:r w:rsidR="00534EE2">
        <w:t>still remain</w:t>
      </w:r>
      <w:bookmarkStart w:id="1" w:name="_Ref160701155"/>
      <w:proofErr w:type="gramEnd"/>
      <w:r w:rsidR="00534EE2" w:rsidRPr="00534EE2">
        <w:rPr>
          <w:rStyle w:val="EndnoteReference"/>
        </w:rPr>
        <w:endnoteReference w:id="3"/>
      </w:r>
      <w:bookmarkEnd w:id="1"/>
      <w:r w:rsidR="00534EE2" w:rsidRPr="00534EE2">
        <w:rPr>
          <w:vertAlign w:val="superscript"/>
        </w:rPr>
        <w:t>,</w:t>
      </w:r>
      <w:r w:rsidR="00534EE2" w:rsidRPr="00534EE2">
        <w:rPr>
          <w:rStyle w:val="EndnoteReference"/>
        </w:rPr>
        <w:endnoteReference w:id="4"/>
      </w:r>
      <w:r w:rsidR="00534EE2">
        <w:t>.</w:t>
      </w:r>
      <w:r w:rsidR="00636ABC" w:rsidRPr="00636ABC">
        <w:t xml:space="preserve"> </w:t>
      </w:r>
      <w:r w:rsidR="00636ABC">
        <w:t>The availability of newer local anaesthetics with an improved safety profile and advances in managing local anaesthetic toxicity have enhanced the safety of RA further</w:t>
      </w:r>
      <w:bookmarkStart w:id="2" w:name="_Ref163047428"/>
      <w:r w:rsidR="00636ABC" w:rsidRPr="00636ABC">
        <w:rPr>
          <w:rStyle w:val="EndnoteReference"/>
        </w:rPr>
        <w:endnoteReference w:id="5"/>
      </w:r>
      <w:bookmarkEnd w:id="2"/>
      <w:r w:rsidR="00636ABC" w:rsidRPr="00636ABC">
        <w:rPr>
          <w:vertAlign w:val="superscript"/>
        </w:rPr>
        <w:t>,</w:t>
      </w:r>
      <w:bookmarkStart w:id="3" w:name="_Ref163047647"/>
      <w:r w:rsidR="00636ABC" w:rsidRPr="00636ABC">
        <w:rPr>
          <w:rStyle w:val="EndnoteReference"/>
        </w:rPr>
        <w:endnoteReference w:id="6"/>
      </w:r>
      <w:bookmarkEnd w:id="3"/>
      <w:r w:rsidR="00636ABC">
        <w:rPr>
          <w:vertAlign w:val="superscript"/>
        </w:rPr>
        <w:t>.</w:t>
      </w:r>
    </w:p>
    <w:p w14:paraId="37B21F83" w14:textId="250DCF52" w:rsidR="001E7BEF" w:rsidRDefault="001E7BEF" w:rsidP="005E6FBF">
      <w:r>
        <w:t>RA is a recommended analgesic strategy for many surgical procedures, either alone or as a component of multimodal analgesia</w:t>
      </w:r>
      <w:r>
        <w:rPr>
          <w:rStyle w:val="EndnoteReference"/>
        </w:rPr>
        <w:endnoteReference w:id="7"/>
      </w:r>
      <w:r w:rsidR="00322A54">
        <w:t>. It generally provides superior analgesia compared to other pain medications in the immediate postoperative period, is opioid sparing and reduces opioid related side effects. Improved analgesia with less side effects can reduce the surgical stress response and facilitate improved mobilisation and as a result regional anaesthesia has</w:t>
      </w:r>
      <w:r w:rsidR="0083689B">
        <w:t xml:space="preserve"> a</w:t>
      </w:r>
      <w:r w:rsidR="00322A54">
        <w:t xml:space="preserve"> role in many enhanced </w:t>
      </w:r>
      <w:proofErr w:type="gramStart"/>
      <w:r w:rsidR="00322A54">
        <w:t>recovery</w:t>
      </w:r>
      <w:proofErr w:type="gramEnd"/>
      <w:r w:rsidR="00322A54">
        <w:t xml:space="preserve"> after surgery programmes and day surgery pathways</w:t>
      </w:r>
      <w:bookmarkStart w:id="4" w:name="_Ref163033262"/>
      <w:r w:rsidR="00C006C9" w:rsidRPr="00C006C9">
        <w:rPr>
          <w:rStyle w:val="EndnoteReference"/>
        </w:rPr>
        <w:endnoteReference w:id="8"/>
      </w:r>
      <w:bookmarkEnd w:id="4"/>
      <w:r w:rsidR="00C006C9" w:rsidRPr="00C006C9">
        <w:rPr>
          <w:vertAlign w:val="superscript"/>
        </w:rPr>
        <w:t>,</w:t>
      </w:r>
      <w:r w:rsidR="00C006C9" w:rsidRPr="00C006C9">
        <w:rPr>
          <w:rStyle w:val="EndnoteReference"/>
        </w:rPr>
        <w:endnoteReference w:id="9"/>
      </w:r>
      <w:r w:rsidR="00C006C9">
        <w:rPr>
          <w:vertAlign w:val="superscript"/>
        </w:rPr>
        <w:t>,</w:t>
      </w:r>
      <w:r w:rsidR="00C006C9" w:rsidRPr="00B24AB2">
        <w:rPr>
          <w:rStyle w:val="EndnoteReference"/>
        </w:rPr>
        <w:endnoteReference w:id="10"/>
      </w:r>
      <w:r w:rsidR="00322A54">
        <w:t>. Regional anaesthesia may also reduce morbidity</w:t>
      </w:r>
      <w:r w:rsidR="00361D26" w:rsidRPr="00361D26">
        <w:rPr>
          <w:vertAlign w:val="superscript"/>
        </w:rPr>
        <w:fldChar w:fldCharType="begin"/>
      </w:r>
      <w:r w:rsidR="00361D26" w:rsidRPr="00361D26">
        <w:rPr>
          <w:vertAlign w:val="superscript"/>
        </w:rPr>
        <w:instrText xml:space="preserve"> NOTEREF _Ref163033262 \h </w:instrText>
      </w:r>
      <w:r w:rsidR="00361D26">
        <w:rPr>
          <w:vertAlign w:val="superscript"/>
        </w:rPr>
        <w:instrText xml:space="preserve"> \* MERGEFORMAT </w:instrText>
      </w:r>
      <w:r w:rsidR="00361D26" w:rsidRPr="00361D26">
        <w:rPr>
          <w:vertAlign w:val="superscript"/>
        </w:rPr>
      </w:r>
      <w:r w:rsidR="00361D26" w:rsidRPr="00361D26">
        <w:rPr>
          <w:vertAlign w:val="superscript"/>
        </w:rPr>
        <w:fldChar w:fldCharType="separate"/>
      </w:r>
      <w:r w:rsidR="0088690E">
        <w:rPr>
          <w:vertAlign w:val="superscript"/>
        </w:rPr>
        <w:t>8</w:t>
      </w:r>
      <w:r w:rsidR="00361D26" w:rsidRPr="00361D26">
        <w:rPr>
          <w:vertAlign w:val="superscript"/>
        </w:rPr>
        <w:fldChar w:fldCharType="end"/>
      </w:r>
      <w:r w:rsidR="00C006C9">
        <w:t>. Neuraxial anaesthesia alone, and to a lesser extent when combined with general anaesthesia is associated with decreased odds of pulmonary complications, and possibly also surgical site infection, blood transfusion, thromboembolic events and may be associated with reduced intensive care admissions and a shorter length of stay</w:t>
      </w:r>
      <w:r w:rsidR="00C006C9" w:rsidRPr="00A80839">
        <w:rPr>
          <w:rStyle w:val="EndnoteReference"/>
        </w:rPr>
        <w:endnoteReference w:id="11"/>
      </w:r>
      <w:r w:rsidR="00C006C9">
        <w:t>. Peripheral nerve blocks may also have benefits beyond superior analgesia although these are less well studied compared to neuraxial anaesthesia and analgesia</w:t>
      </w:r>
      <w:r w:rsidR="00A96DFF" w:rsidRPr="00B24AB2">
        <w:rPr>
          <w:rStyle w:val="EndnoteReference"/>
        </w:rPr>
        <w:endnoteReference w:id="12"/>
      </w:r>
      <w:r w:rsidR="00A96DFF" w:rsidRPr="00B24AB2">
        <w:rPr>
          <w:vertAlign w:val="superscript"/>
        </w:rPr>
        <w:t>,</w:t>
      </w:r>
      <w:r w:rsidR="00A96DFF" w:rsidRPr="00B24AB2">
        <w:rPr>
          <w:rStyle w:val="EndnoteReference"/>
        </w:rPr>
        <w:endnoteReference w:id="13"/>
      </w:r>
      <w:r w:rsidR="00C006C9">
        <w:t>.</w:t>
      </w:r>
    </w:p>
    <w:p w14:paraId="2103E083" w14:textId="1C9E5C35" w:rsidR="001E7BEF" w:rsidRDefault="00A96DFF" w:rsidP="005E6FBF">
      <w:r>
        <w:t xml:space="preserve">As well as benefitting patients, regjonal anaesthesia may also have institutional benefits. It can reduce the length of stay and reduce readmission rates in ambulatory surgery. Perineural catheters provide prolonged postoperative pain relief and can enable earlier discharge of patients that otherwise would need to remain in hospital. ‘Block </w:t>
      </w:r>
      <w:r w:rsidR="006846F9">
        <w:t>rooms</w:t>
      </w:r>
      <w:r>
        <w:t xml:space="preserve"> can increase theatre productivity by reducing turnover time between cases, and potentially also reduce staffing costs if the block room services multiple theatres where patients undergoing surgery under regional anaesthesia are supervised by non anaesthetists</w:t>
      </w:r>
      <w:r w:rsidR="002119E6" w:rsidRPr="00B24AB2">
        <w:rPr>
          <w:rStyle w:val="EndnoteReference"/>
        </w:rPr>
        <w:endnoteReference w:id="14"/>
      </w:r>
      <w:r w:rsidR="002119E6" w:rsidRPr="00B24AB2">
        <w:rPr>
          <w:vertAlign w:val="superscript"/>
        </w:rPr>
        <w:t>,</w:t>
      </w:r>
      <w:bookmarkStart w:id="5" w:name="_Ref163047892"/>
      <w:r w:rsidR="002119E6" w:rsidRPr="00B24AB2">
        <w:rPr>
          <w:rStyle w:val="EndnoteReference"/>
        </w:rPr>
        <w:endnoteReference w:id="15"/>
      </w:r>
      <w:bookmarkEnd w:id="5"/>
      <w:r w:rsidR="002119E6" w:rsidRPr="00B24AB2">
        <w:rPr>
          <w:vertAlign w:val="superscript"/>
        </w:rPr>
        <w:t>,</w:t>
      </w:r>
      <w:bookmarkStart w:id="6" w:name="_Ref160116243"/>
      <w:r w:rsidR="002119E6">
        <w:rPr>
          <w:rStyle w:val="EndnoteReference"/>
          <w:lang w:eastAsia="ja-JP"/>
        </w:rPr>
        <w:endnoteReference w:id="16"/>
      </w:r>
      <w:bookmarkEnd w:id="6"/>
      <w:r w:rsidR="002119E6">
        <w:t xml:space="preserve">. </w:t>
      </w:r>
      <w:r>
        <w:t xml:space="preserve">Regional anaesthesia is also attractive from an environmental point of view although there is little evidence </w:t>
      </w:r>
      <w:proofErr w:type="gramStart"/>
      <w:r>
        <w:t>as yet</w:t>
      </w:r>
      <w:proofErr w:type="gramEnd"/>
      <w:r>
        <w:t xml:space="preserve"> that it is any less ‘green' than other forms of anaesthesia. </w:t>
      </w:r>
    </w:p>
    <w:p w14:paraId="0BCA54CE" w14:textId="0B3A0C82" w:rsidR="005E6FBF" w:rsidRPr="005E6FBF" w:rsidRDefault="005E6FBF" w:rsidP="005E6FBF">
      <w:r>
        <w:t xml:space="preserve">This guidance makes recommendations on leadership, governance arrangements, staffing, equipment, and training in providing services specific to regional anaesthesia. The provision of high-quality services throughout the perioperative journey of patients is covered. This includes information shared with patients, informed consent, and shared decision-making. The availability of the required number of anaesthetists </w:t>
      </w:r>
      <w:r w:rsidR="00DF64E7">
        <w:t xml:space="preserve">trained in regional techniques </w:t>
      </w:r>
      <w:r>
        <w:t>in every hospital to develop RA services and provide the necessary clinical input has been emphasised. Policies and procedures to support high-quality clinical care have been recommended. Some specialities with significant RA workload and patient groups with specific considerations in regional anaesthesia have been addressed separately. The provision of a high standard of RA services throughout the perioperative journey of surgical patients and for analgesia in non-surgical patients will significantly enhance the standard of care provided in acute hospitals.</w:t>
      </w:r>
    </w:p>
    <w:p w14:paraId="3D391498" w14:textId="77777777" w:rsidR="00024783" w:rsidRPr="009D1CC5" w:rsidRDefault="00024783" w:rsidP="0048790A">
      <w:pPr>
        <w:pStyle w:val="Heading2"/>
      </w:pPr>
      <w:r w:rsidRPr="009D1CC5">
        <w:t>Recommendations</w:t>
      </w:r>
    </w:p>
    <w:p w14:paraId="097830CF" w14:textId="77777777" w:rsidR="004A3011" w:rsidRDefault="00024783" w:rsidP="0048790A">
      <w:r w:rsidRPr="009D1CC5">
        <w:t>The grade of evidence and the overall strength of each recommenda</w:t>
      </w:r>
      <w:r w:rsidR="004A3011">
        <w:t>tion are tabulated in Appendix 1</w:t>
      </w:r>
      <w:r w:rsidRPr="009D1CC5">
        <w:t>.</w:t>
      </w:r>
    </w:p>
    <w:p w14:paraId="5B5FC803" w14:textId="55741DA3" w:rsidR="009576E0" w:rsidRPr="00A75039" w:rsidRDefault="00972BFB" w:rsidP="00A75039">
      <w:pPr>
        <w:ind w:left="567" w:hanging="567"/>
        <w:rPr>
          <w:b/>
          <w:color w:val="CD6084" w:themeColor="accent5"/>
          <w:sz w:val="24"/>
          <w:szCs w:val="24"/>
        </w:rPr>
      </w:pPr>
      <w:r w:rsidRPr="00972BFB">
        <w:rPr>
          <w:b/>
          <w:color w:val="CD6084" w:themeColor="accent5"/>
          <w:sz w:val="24"/>
          <w:szCs w:val="24"/>
        </w:rPr>
        <w:t>1</w:t>
      </w:r>
      <w:r w:rsidRPr="00972BFB">
        <w:rPr>
          <w:b/>
          <w:color w:val="CD6084" w:themeColor="accent5"/>
          <w:sz w:val="24"/>
          <w:szCs w:val="24"/>
        </w:rPr>
        <w:tab/>
      </w:r>
      <w:r w:rsidR="00DD7E94">
        <w:rPr>
          <w:b/>
          <w:color w:val="CD6084" w:themeColor="accent5"/>
          <w:sz w:val="24"/>
          <w:szCs w:val="24"/>
        </w:rPr>
        <w:t>Service organi</w:t>
      </w:r>
      <w:r w:rsidR="00857ADE">
        <w:rPr>
          <w:b/>
          <w:color w:val="CD6084" w:themeColor="accent5"/>
          <w:sz w:val="24"/>
          <w:szCs w:val="24"/>
        </w:rPr>
        <w:t>s</w:t>
      </w:r>
      <w:r w:rsidR="00DD7E94">
        <w:rPr>
          <w:b/>
          <w:color w:val="CD6084" w:themeColor="accent5"/>
          <w:sz w:val="24"/>
          <w:szCs w:val="24"/>
        </w:rPr>
        <w:t>ation and administration</w:t>
      </w:r>
      <w:r w:rsidR="00C65206">
        <w:rPr>
          <w:b/>
          <w:color w:val="CD6084" w:themeColor="accent5"/>
          <w:sz w:val="24"/>
          <w:szCs w:val="24"/>
        </w:rPr>
        <w:t xml:space="preserve"> </w:t>
      </w:r>
    </w:p>
    <w:p w14:paraId="5B7D718A" w14:textId="70F43A8F" w:rsidR="009143FF" w:rsidRPr="00972BFB" w:rsidRDefault="00DD7E94" w:rsidP="00C510D7">
      <w:pPr>
        <w:pStyle w:val="Heading3"/>
      </w:pPr>
      <w:r>
        <w:lastRenderedPageBreak/>
        <w:t>Leadership structure</w:t>
      </w:r>
    </w:p>
    <w:p w14:paraId="3B80E340" w14:textId="7671EBBF" w:rsidR="00DD7E94" w:rsidRPr="00DD7E94" w:rsidRDefault="00DD7E94" w:rsidP="00DD7E94">
      <w:pPr>
        <w:pStyle w:val="recommendation"/>
        <w:rPr>
          <w:lang w:eastAsia="ja-JP"/>
        </w:rPr>
      </w:pPr>
      <w:r w:rsidRPr="00DD7E94">
        <w:rPr>
          <w:lang w:eastAsia="ja-JP"/>
        </w:rPr>
        <w:t xml:space="preserve">Every anaesthesia department should have a designated clinical lead (see </w:t>
      </w:r>
      <w:hyperlink w:anchor="_Glossary" w:history="1">
        <w:r w:rsidRPr="00A2796F">
          <w:rPr>
            <w:rStyle w:val="Hyperlink"/>
            <w:sz w:val="20"/>
            <w:lang w:eastAsia="ja-JP"/>
          </w:rPr>
          <w:t>Glossary</w:t>
        </w:r>
      </w:hyperlink>
      <w:r w:rsidRPr="00DD7E94">
        <w:rPr>
          <w:lang w:eastAsia="ja-JP"/>
        </w:rPr>
        <w:t>) for regional anaesthesia services. This lead role should be recognised in job plans and be allocated dedicated time. Regional anaesthesia leads should be involved in multidisciplinary service planning and governance related to regional anaesthesia</w:t>
      </w:r>
      <w:r w:rsidR="008E7EFA" w:rsidRPr="008E7EFA">
        <w:rPr>
          <w:vertAlign w:val="superscript"/>
          <w:lang w:eastAsia="ja-JP"/>
        </w:rPr>
        <w:fldChar w:fldCharType="begin"/>
      </w:r>
      <w:r w:rsidR="008E7EFA" w:rsidRPr="008E7EFA">
        <w:rPr>
          <w:vertAlign w:val="superscript"/>
          <w:lang w:eastAsia="ja-JP"/>
        </w:rPr>
        <w:instrText xml:space="preserve"> NOTEREF _Ref163034112 \h </w:instrText>
      </w:r>
      <w:r w:rsidR="008E7EFA">
        <w:rPr>
          <w:vertAlign w:val="superscript"/>
          <w:lang w:eastAsia="ja-JP"/>
        </w:rPr>
        <w:instrText xml:space="preserve"> \* MERGEFORMAT </w:instrText>
      </w:r>
      <w:r w:rsidR="008E7EFA" w:rsidRPr="008E7EFA">
        <w:rPr>
          <w:vertAlign w:val="superscript"/>
          <w:lang w:eastAsia="ja-JP"/>
        </w:rPr>
      </w:r>
      <w:r w:rsidR="008E7EFA" w:rsidRPr="008E7EFA">
        <w:rPr>
          <w:vertAlign w:val="superscript"/>
          <w:lang w:eastAsia="ja-JP"/>
        </w:rPr>
        <w:fldChar w:fldCharType="separate"/>
      </w:r>
      <w:r w:rsidR="0088690E">
        <w:rPr>
          <w:vertAlign w:val="superscript"/>
          <w:lang w:eastAsia="ja-JP"/>
        </w:rPr>
        <w:t>2</w:t>
      </w:r>
      <w:r w:rsidR="008E7EFA" w:rsidRPr="008E7EFA">
        <w:rPr>
          <w:vertAlign w:val="superscript"/>
          <w:lang w:eastAsia="ja-JP"/>
        </w:rPr>
        <w:fldChar w:fldCharType="end"/>
      </w:r>
      <w:r w:rsidRPr="00DD7E94">
        <w:rPr>
          <w:lang w:eastAsia="ja-JP"/>
        </w:rPr>
        <w:t xml:space="preserve">. </w:t>
      </w:r>
    </w:p>
    <w:p w14:paraId="1C6887C3" w14:textId="665F511F" w:rsidR="00DD7E94" w:rsidRPr="00CF062D" w:rsidRDefault="00DD7E94" w:rsidP="00DD7E94">
      <w:pPr>
        <w:pStyle w:val="recommendation"/>
      </w:pPr>
      <w:r w:rsidRPr="00CF062D">
        <w:t xml:space="preserve">Anaesthetists should </w:t>
      </w:r>
      <w:r>
        <w:t>actively engage</w:t>
      </w:r>
      <w:r w:rsidRPr="00CF062D">
        <w:t xml:space="preserve"> in planning services with significant regional anaesthesia requirements. They should be actively </w:t>
      </w:r>
      <w:r w:rsidR="008E7EFA">
        <w:t>involved</w:t>
      </w:r>
      <w:r w:rsidRPr="00CF062D">
        <w:t xml:space="preserve"> in policy decisions, service improvements and equipment purchasing related to regional anaesthesia. </w:t>
      </w:r>
    </w:p>
    <w:p w14:paraId="5B4BF707" w14:textId="77777777" w:rsidR="00DD7E94" w:rsidRPr="00CF062D" w:rsidRDefault="00DD7E94" w:rsidP="00DD7E94">
      <w:pPr>
        <w:pStyle w:val="recommendation"/>
      </w:pPr>
      <w:r w:rsidRPr="00CF062D">
        <w:t>Every anaesthesia department should aim to provide a high-quality regional anaesthesia service. This should be reflected in the published departmental plans and resources provided to support this aim.</w:t>
      </w:r>
    </w:p>
    <w:p w14:paraId="309428D8" w14:textId="77777777" w:rsidR="00DD7E94" w:rsidRDefault="00DD7E94" w:rsidP="00DD7E94">
      <w:pPr>
        <w:pStyle w:val="recommendation"/>
      </w:pPr>
      <w:r w:rsidRPr="00CF062D">
        <w:t xml:space="preserve">Every anaesthesia department should have enough anaesthetists with expertise in regional anaesthesia to provide a timely regional anaesthesia service. When this is not possible, a consultant anaesthetist with expertise in regional anaesthesia should be identified daily to support other anaesthetists with </w:t>
      </w:r>
      <w:r>
        <w:t>regional anaesthesia procedures</w:t>
      </w:r>
      <w:r w:rsidRPr="00CF062D">
        <w:t>.</w:t>
      </w:r>
    </w:p>
    <w:p w14:paraId="146514CC" w14:textId="7CCD9CA7" w:rsidR="00DD7E94" w:rsidRPr="00407278" w:rsidRDefault="00DD7E94" w:rsidP="00DD7E94">
      <w:pPr>
        <w:pStyle w:val="recommendation"/>
      </w:pPr>
      <w:r w:rsidRPr="00407278">
        <w:t>Where indicated patients should be offered the choice of regional anaesthesia either as the sole anaesthetic or in conju</w:t>
      </w:r>
      <w:r>
        <w:t>n</w:t>
      </w:r>
      <w:r w:rsidRPr="00407278">
        <w:t>ction with general anaesthesia.</w:t>
      </w:r>
    </w:p>
    <w:p w14:paraId="49C9D3C6" w14:textId="36D4D1D2" w:rsidR="00DD7E94" w:rsidRPr="00972BFB" w:rsidRDefault="00DD7E94" w:rsidP="00C510D7">
      <w:pPr>
        <w:pStyle w:val="Heading3"/>
      </w:pPr>
      <w:r>
        <w:t>Clinical governance</w:t>
      </w:r>
    </w:p>
    <w:p w14:paraId="5ECE2666" w14:textId="13F54DD1" w:rsidR="00DD7E94" w:rsidRPr="00DB5F52" w:rsidRDefault="00CB175E" w:rsidP="00DD7E94">
      <w:pPr>
        <w:pStyle w:val="recommendation"/>
        <w:rPr>
          <w:szCs w:val="20"/>
          <w:lang w:eastAsia="ja-JP"/>
        </w:rPr>
      </w:pPr>
      <w:r w:rsidRPr="00DB5F52">
        <w:rPr>
          <w:szCs w:val="20"/>
          <w:lang w:eastAsia="ja-JP"/>
        </w:rPr>
        <w:t>Clinical governance is covered in det</w:t>
      </w:r>
      <w:r w:rsidR="00A838DF" w:rsidRPr="00DB5F52">
        <w:rPr>
          <w:szCs w:val="20"/>
          <w:lang w:eastAsia="ja-JP"/>
        </w:rPr>
        <w:t>ai</w:t>
      </w:r>
      <w:r w:rsidRPr="00DB5F52">
        <w:rPr>
          <w:szCs w:val="20"/>
          <w:lang w:eastAsia="ja-JP"/>
        </w:rPr>
        <w:t xml:space="preserve">l in </w:t>
      </w:r>
      <w:hyperlink r:id="rId11" w:tgtFrame="_blank" w:history="1">
        <w:r w:rsidRPr="001B3727">
          <w:rPr>
            <w:rStyle w:val="Hyperlink"/>
            <w:sz w:val="20"/>
            <w:szCs w:val="20"/>
          </w:rPr>
          <w:t>Chapter 1: Guidelines for the Provision of Anaesthesia Services: The Good Departmen</w:t>
        </w:r>
        <w:r w:rsidRPr="001B3727">
          <w:rPr>
            <w:rStyle w:val="Hyperlink"/>
            <w:color w:val="95CCD8" w:themeColor="accent2" w:themeTint="99"/>
            <w:sz w:val="20"/>
            <w:szCs w:val="20"/>
          </w:rPr>
          <w:t>t</w:t>
        </w:r>
      </w:hyperlink>
      <w:r w:rsidRPr="00DB5F52">
        <w:rPr>
          <w:color w:val="0E101A"/>
          <w:szCs w:val="20"/>
        </w:rPr>
        <w:t>.</w:t>
      </w:r>
      <w:r w:rsidR="00DD7E94" w:rsidRPr="00DB5F52">
        <w:rPr>
          <w:szCs w:val="20"/>
          <w:lang w:eastAsia="ja-JP"/>
        </w:rPr>
        <w:t xml:space="preserve"> </w:t>
      </w:r>
      <w:r w:rsidRPr="00DB5F52">
        <w:rPr>
          <w:color w:val="0E101A"/>
          <w:szCs w:val="20"/>
        </w:rPr>
        <w:t>The principles of governance described in the chapter apply to the provision of regional anaesthesia services.</w:t>
      </w:r>
    </w:p>
    <w:p w14:paraId="0FB234B1" w14:textId="2D242780" w:rsidR="00A819A4" w:rsidRDefault="00CB175E" w:rsidP="00CB175E">
      <w:pPr>
        <w:pStyle w:val="recommendation"/>
        <w:rPr>
          <w:lang w:eastAsia="ja-JP"/>
        </w:rPr>
      </w:pPr>
      <w:r w:rsidRPr="00CB175E">
        <w:rPr>
          <w:lang w:eastAsia="ja-JP"/>
        </w:rPr>
        <w:t xml:space="preserve">Every anaesthesia department should have systems to report, investigate, </w:t>
      </w:r>
      <w:proofErr w:type="gramStart"/>
      <w:r w:rsidRPr="00CB175E">
        <w:rPr>
          <w:lang w:eastAsia="ja-JP"/>
        </w:rPr>
        <w:t>discuss</w:t>
      </w:r>
      <w:proofErr w:type="gramEnd"/>
      <w:r w:rsidRPr="00CB175E">
        <w:rPr>
          <w:lang w:eastAsia="ja-JP"/>
        </w:rPr>
        <w:t xml:space="preserve"> and learn from adverse events </w:t>
      </w:r>
      <w:r w:rsidR="00A568B8">
        <w:rPr>
          <w:lang w:eastAsia="ja-JP"/>
        </w:rPr>
        <w:t>occurring during</w:t>
      </w:r>
      <w:r w:rsidRPr="00CB175E">
        <w:rPr>
          <w:lang w:eastAsia="ja-JP"/>
        </w:rPr>
        <w:t xml:space="preserve"> regional anaesthesia</w:t>
      </w:r>
      <w:r w:rsidR="001207A8">
        <w:rPr>
          <w:rStyle w:val="EndnoteReference"/>
          <w:lang w:eastAsia="ja-JP"/>
        </w:rPr>
        <w:endnoteReference w:id="17"/>
      </w:r>
      <w:r w:rsidRPr="00CB175E">
        <w:rPr>
          <w:lang w:eastAsia="ja-JP"/>
        </w:rPr>
        <w:t xml:space="preserve">. </w:t>
      </w:r>
    </w:p>
    <w:p w14:paraId="15286458" w14:textId="6AD1DA57" w:rsidR="00CB175E" w:rsidRPr="00CB175E" w:rsidRDefault="00CB175E" w:rsidP="00CB175E">
      <w:pPr>
        <w:pStyle w:val="recommendation"/>
        <w:rPr>
          <w:lang w:eastAsia="ja-JP"/>
        </w:rPr>
      </w:pPr>
      <w:r w:rsidRPr="00CB175E">
        <w:rPr>
          <w:lang w:eastAsia="ja-JP"/>
        </w:rPr>
        <w:t xml:space="preserve">Departments should consider having tools for </w:t>
      </w:r>
      <w:r w:rsidR="00A568B8">
        <w:rPr>
          <w:lang w:eastAsia="ja-JP"/>
        </w:rPr>
        <w:t xml:space="preserve">the </w:t>
      </w:r>
      <w:r w:rsidRPr="00CB175E">
        <w:rPr>
          <w:lang w:eastAsia="ja-JP"/>
        </w:rPr>
        <w:t>collecti</w:t>
      </w:r>
      <w:r w:rsidR="00A568B8">
        <w:rPr>
          <w:lang w:eastAsia="ja-JP"/>
        </w:rPr>
        <w:t>on of</w:t>
      </w:r>
      <w:r w:rsidRPr="00CB175E">
        <w:rPr>
          <w:lang w:eastAsia="ja-JP"/>
        </w:rPr>
        <w:t xml:space="preserve"> data on outcomes and the safety of regional anaesthesia procedures. This data should be regularly discussed at governance meetings to improve the performance</w:t>
      </w:r>
      <w:r w:rsidR="00A568B8">
        <w:rPr>
          <w:lang w:eastAsia="ja-JP"/>
        </w:rPr>
        <w:t xml:space="preserve"> of the service</w:t>
      </w:r>
      <w:r w:rsidRPr="00CB175E">
        <w:rPr>
          <w:lang w:eastAsia="ja-JP"/>
        </w:rPr>
        <w:t>.</w:t>
      </w:r>
    </w:p>
    <w:p w14:paraId="46E54AF1" w14:textId="560147CE" w:rsidR="00CB175E" w:rsidRPr="00CB175E" w:rsidRDefault="00CB175E" w:rsidP="00CB175E">
      <w:pPr>
        <w:pStyle w:val="recommendation"/>
        <w:rPr>
          <w:lang w:eastAsia="ja-JP"/>
        </w:rPr>
      </w:pPr>
      <w:r w:rsidRPr="00CB175E">
        <w:rPr>
          <w:lang w:eastAsia="ja-JP"/>
        </w:rPr>
        <w:t xml:space="preserve">Hospitals should </w:t>
      </w:r>
      <w:r w:rsidR="00A568B8">
        <w:rPr>
          <w:lang w:eastAsia="ja-JP"/>
        </w:rPr>
        <w:t xml:space="preserve">regularly </w:t>
      </w:r>
      <w:r w:rsidRPr="00CB175E">
        <w:rPr>
          <w:lang w:eastAsia="ja-JP"/>
        </w:rPr>
        <w:t>review local standards and policies related to regional anaesthesia and ensure they are harmonised with national safety standards and guidelines</w:t>
      </w:r>
      <w:bookmarkStart w:id="7" w:name="_Ref163044652"/>
      <w:r w:rsidR="001337AE">
        <w:rPr>
          <w:rStyle w:val="EndnoteReference"/>
          <w:lang w:eastAsia="ja-JP"/>
        </w:rPr>
        <w:endnoteReference w:id="18"/>
      </w:r>
      <w:bookmarkEnd w:id="7"/>
      <w:r w:rsidRPr="00CB175E">
        <w:rPr>
          <w:lang w:eastAsia="ja-JP"/>
        </w:rPr>
        <w:t>.</w:t>
      </w:r>
    </w:p>
    <w:p w14:paraId="34123597" w14:textId="7DA97A6E" w:rsidR="00CB175E" w:rsidRPr="00972BFB" w:rsidRDefault="00CB175E" w:rsidP="00C510D7">
      <w:pPr>
        <w:pStyle w:val="Heading3"/>
      </w:pPr>
      <w:r>
        <w:t>Policies and pathways</w:t>
      </w:r>
    </w:p>
    <w:p w14:paraId="68514BB8" w14:textId="3A113530" w:rsidR="00080651" w:rsidRPr="00080651" w:rsidRDefault="00080651" w:rsidP="00080651">
      <w:pPr>
        <w:pStyle w:val="recommendation"/>
        <w:rPr>
          <w:lang w:val="en-GB" w:eastAsia="ja-JP"/>
        </w:rPr>
      </w:pPr>
      <w:r w:rsidRPr="00080651">
        <w:rPr>
          <w:lang w:val="en-GB" w:eastAsia="ja-JP"/>
        </w:rPr>
        <w:t>General policies detailed in </w:t>
      </w:r>
      <w:hyperlink r:id="rId12" w:tgtFrame="_blank" w:history="1">
        <w:r w:rsidRPr="00080651">
          <w:rPr>
            <w:rStyle w:val="Hyperlink"/>
            <w:sz w:val="20"/>
            <w:lang w:val="en-GB" w:eastAsia="ja-JP"/>
          </w:rPr>
          <w:t>Chapter 2: Guidelines for the Provision of Anaesthesia Services for Perioperative Care of Elective and Urgent Care Patients</w:t>
        </w:r>
      </w:hyperlink>
      <w:r w:rsidRPr="00080651">
        <w:rPr>
          <w:lang w:val="en-GB" w:eastAsia="ja-JP"/>
        </w:rPr>
        <w:t> are relevant to the provision of regional anaesthesia services. </w:t>
      </w:r>
    </w:p>
    <w:p w14:paraId="399EAAD6" w14:textId="64775471" w:rsidR="00CB175E" w:rsidRPr="00080651" w:rsidRDefault="00080651" w:rsidP="00CB175E">
      <w:pPr>
        <w:pStyle w:val="recommendation"/>
        <w:rPr>
          <w:lang w:eastAsia="ja-JP"/>
        </w:rPr>
      </w:pPr>
      <w:r w:rsidRPr="00CF062D">
        <w:rPr>
          <w:color w:val="0E101A"/>
          <w:szCs w:val="20"/>
        </w:rPr>
        <w:t>A multidisciplinary team, including all relevant healthcare professionals as appropriate, should develop local policies pertinent to regional anaesthesia.</w:t>
      </w:r>
    </w:p>
    <w:p w14:paraId="3062E335" w14:textId="4C32F7B3" w:rsidR="00080651" w:rsidRPr="00080651" w:rsidRDefault="00080651" w:rsidP="00CB175E">
      <w:pPr>
        <w:pStyle w:val="recommendation"/>
        <w:rPr>
          <w:lang w:eastAsia="ja-JP"/>
        </w:rPr>
      </w:pPr>
      <w:r w:rsidRPr="00CF062D">
        <w:rPr>
          <w:color w:val="0E101A"/>
          <w:szCs w:val="20"/>
        </w:rPr>
        <w:t xml:space="preserve">Local policies should </w:t>
      </w:r>
      <w:proofErr w:type="gramStart"/>
      <w:r w:rsidRPr="00CF062D">
        <w:rPr>
          <w:color w:val="0E101A"/>
          <w:szCs w:val="20"/>
        </w:rPr>
        <w:t>be in agreement</w:t>
      </w:r>
      <w:proofErr w:type="gramEnd"/>
      <w:r w:rsidRPr="00CF062D">
        <w:rPr>
          <w:color w:val="0E101A"/>
          <w:szCs w:val="20"/>
        </w:rPr>
        <w:t xml:space="preserve"> with relevant published national guidelines.</w:t>
      </w:r>
    </w:p>
    <w:p w14:paraId="3EA5A90E" w14:textId="74536675" w:rsidR="00080651" w:rsidRPr="00080651" w:rsidRDefault="00080651" w:rsidP="00CB175E">
      <w:pPr>
        <w:pStyle w:val="recommendation"/>
        <w:rPr>
          <w:lang w:eastAsia="ja-JP"/>
        </w:rPr>
      </w:pPr>
      <w:r w:rsidRPr="00CF062D">
        <w:rPr>
          <w:color w:val="0E101A"/>
          <w:szCs w:val="20"/>
        </w:rPr>
        <w:t>Local policy on consent should have a section dedicated to regional anaesthesia. </w:t>
      </w:r>
    </w:p>
    <w:p w14:paraId="607960B2" w14:textId="4C199CA4" w:rsidR="00080651" w:rsidRDefault="00080651" w:rsidP="00080651">
      <w:pPr>
        <w:pStyle w:val="recommendation"/>
        <w:rPr>
          <w:lang w:eastAsia="ja-JP"/>
        </w:rPr>
      </w:pPr>
      <w:r w:rsidRPr="00080651">
        <w:rPr>
          <w:lang w:eastAsia="ja-JP"/>
        </w:rPr>
        <w:t>National guidelines adopted locally should be easily accessible to all staff caring for patients undergoing regional anaesthesia. These include but are not limited to:</w:t>
      </w:r>
      <w:r>
        <w:rPr>
          <w:lang w:eastAsia="ja-JP"/>
        </w:rPr>
        <w:t xml:space="preserve"> </w:t>
      </w:r>
    </w:p>
    <w:p w14:paraId="3BC1F2BD" w14:textId="2DD6BA97" w:rsidR="00080651" w:rsidRPr="00080651" w:rsidRDefault="00080651" w:rsidP="00DC3965">
      <w:pPr>
        <w:pStyle w:val="ListParagraph"/>
        <w:numPr>
          <w:ilvl w:val="0"/>
          <w:numId w:val="7"/>
        </w:numPr>
        <w:rPr>
          <w:color w:val="0E101A"/>
          <w:szCs w:val="20"/>
        </w:rPr>
      </w:pPr>
      <w:r w:rsidRPr="00080651">
        <w:rPr>
          <w:color w:val="0E101A"/>
          <w:szCs w:val="20"/>
        </w:rPr>
        <w:t>Regional anaesthesia in patients with abnormalities of coagulation</w:t>
      </w:r>
      <w:r w:rsidR="001207A8">
        <w:rPr>
          <w:rStyle w:val="EndnoteReference"/>
          <w:color w:val="0E101A"/>
          <w:szCs w:val="20"/>
        </w:rPr>
        <w:endnoteReference w:id="19"/>
      </w:r>
    </w:p>
    <w:p w14:paraId="1416796E" w14:textId="5CB3F3B6" w:rsidR="00080651" w:rsidRPr="00080651"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lastRenderedPageBreak/>
        <w:t xml:space="preserve">LocSSIPS </w:t>
      </w:r>
      <w:r w:rsidRPr="00056893">
        <w:rPr>
          <w:color w:val="0E101A"/>
          <w:sz w:val="20"/>
          <w:szCs w:val="20"/>
        </w:rPr>
        <w:t>(Local Safety Standards for Invasive Procedures</w:t>
      </w:r>
      <w:r>
        <w:rPr>
          <w:color w:val="0E101A"/>
          <w:sz w:val="20"/>
          <w:szCs w:val="20"/>
        </w:rPr>
        <w:t>)</w:t>
      </w:r>
      <w:r w:rsidRPr="00056893">
        <w:rPr>
          <w:color w:val="0E101A"/>
          <w:sz w:val="20"/>
          <w:szCs w:val="20"/>
        </w:rPr>
        <w:t xml:space="preserve"> </w:t>
      </w:r>
      <w:r w:rsidRPr="00CF062D">
        <w:rPr>
          <w:color w:val="0E101A"/>
          <w:sz w:val="20"/>
          <w:szCs w:val="20"/>
        </w:rPr>
        <w:t>for regional block performed without surgery</w:t>
      </w:r>
    </w:p>
    <w:p w14:paraId="45531368" w14:textId="61A76D4A" w:rsidR="00080651" w:rsidRPr="00CF062D"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t>Standardised operating procedure for stop before you block – Prep, Stop, Block</w:t>
      </w:r>
      <w:r w:rsidR="00D70D88">
        <w:rPr>
          <w:rStyle w:val="EndnoteReference"/>
          <w:color w:val="0E101A"/>
          <w:sz w:val="20"/>
          <w:szCs w:val="20"/>
        </w:rPr>
        <w:endnoteReference w:id="20"/>
      </w:r>
    </w:p>
    <w:p w14:paraId="3476A2B4" w14:textId="062250E0" w:rsidR="00080651" w:rsidRPr="00CF062D"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t>Performance of regional techniques by non-physician practitioners</w:t>
      </w:r>
      <w:r w:rsidR="00D70D88" w:rsidRPr="00311662">
        <w:rPr>
          <w:rStyle w:val="EndnoteReference"/>
          <w:color w:val="0E101A"/>
          <w:sz w:val="20"/>
          <w:szCs w:val="20"/>
        </w:rPr>
        <w:endnoteReference w:id="21"/>
      </w:r>
      <w:r w:rsidR="00D70D88" w:rsidRPr="00311662">
        <w:rPr>
          <w:color w:val="0E101A"/>
          <w:sz w:val="20"/>
          <w:szCs w:val="20"/>
          <w:vertAlign w:val="superscript"/>
        </w:rPr>
        <w:t>,</w:t>
      </w:r>
      <w:r w:rsidR="00D70D88" w:rsidRPr="00311662">
        <w:rPr>
          <w:rStyle w:val="EndnoteReference"/>
          <w:color w:val="0E101A"/>
          <w:sz w:val="20"/>
          <w:szCs w:val="20"/>
        </w:rPr>
        <w:endnoteReference w:id="22"/>
      </w:r>
    </w:p>
    <w:p w14:paraId="2AC51173" w14:textId="3FE78583" w:rsidR="00080651" w:rsidRPr="00CF062D"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t>Intraoperative supervision of patients during peripheral regional anaesthesia</w:t>
      </w:r>
      <w:r w:rsidR="00311662" w:rsidRPr="00311662">
        <w:rPr>
          <w:color w:val="0E101A"/>
          <w:sz w:val="20"/>
          <w:szCs w:val="20"/>
          <w:vertAlign w:val="superscript"/>
        </w:rPr>
        <w:fldChar w:fldCharType="begin"/>
      </w:r>
      <w:r w:rsidR="00311662" w:rsidRPr="00311662">
        <w:rPr>
          <w:color w:val="0E101A"/>
          <w:sz w:val="20"/>
          <w:szCs w:val="20"/>
          <w:vertAlign w:val="superscript"/>
        </w:rPr>
        <w:instrText xml:space="preserve"> NOTEREF _Ref160116243 \h </w:instrText>
      </w:r>
      <w:r w:rsidR="00311662">
        <w:rPr>
          <w:color w:val="0E101A"/>
          <w:sz w:val="20"/>
          <w:szCs w:val="20"/>
          <w:vertAlign w:val="superscript"/>
        </w:rPr>
        <w:instrText xml:space="preserve"> \* MERGEFORMAT </w:instrText>
      </w:r>
      <w:r w:rsidR="00311662" w:rsidRPr="00311662">
        <w:rPr>
          <w:color w:val="0E101A"/>
          <w:sz w:val="20"/>
          <w:szCs w:val="20"/>
          <w:vertAlign w:val="superscript"/>
        </w:rPr>
      </w:r>
      <w:r w:rsidR="00311662" w:rsidRPr="00311662">
        <w:rPr>
          <w:color w:val="0E101A"/>
          <w:sz w:val="20"/>
          <w:szCs w:val="20"/>
          <w:vertAlign w:val="superscript"/>
        </w:rPr>
        <w:fldChar w:fldCharType="separate"/>
      </w:r>
      <w:r w:rsidR="0088690E">
        <w:rPr>
          <w:color w:val="0E101A"/>
          <w:sz w:val="20"/>
          <w:szCs w:val="20"/>
          <w:vertAlign w:val="superscript"/>
        </w:rPr>
        <w:t>16</w:t>
      </w:r>
      <w:r w:rsidR="00311662" w:rsidRPr="00311662">
        <w:rPr>
          <w:color w:val="0E101A"/>
          <w:sz w:val="20"/>
          <w:szCs w:val="20"/>
          <w:vertAlign w:val="superscript"/>
        </w:rPr>
        <w:fldChar w:fldCharType="end"/>
      </w:r>
    </w:p>
    <w:p w14:paraId="5E7E592A" w14:textId="2FE5E3F3" w:rsidR="00080651" w:rsidRPr="00CF062D"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t>Postoperative monitoring of patients with regional anaesthesia</w:t>
      </w:r>
      <w:r w:rsidR="00A9244A">
        <w:rPr>
          <w:rStyle w:val="EndnoteReference"/>
          <w:color w:val="0E101A"/>
          <w:sz w:val="20"/>
          <w:szCs w:val="20"/>
        </w:rPr>
        <w:endnoteReference w:id="23"/>
      </w:r>
    </w:p>
    <w:p w14:paraId="125089D3" w14:textId="653B62F5" w:rsidR="00080651" w:rsidRPr="00CF062D"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t>Management of nerve injury associated with regional anaesthesia</w:t>
      </w:r>
      <w:r w:rsidR="0050793A" w:rsidRPr="001C3B64">
        <w:rPr>
          <w:rStyle w:val="EndnoteReference"/>
          <w:color w:val="0E101A"/>
          <w:sz w:val="20"/>
          <w:szCs w:val="20"/>
        </w:rPr>
        <w:endnoteReference w:id="24"/>
      </w:r>
      <w:r w:rsidR="0050793A" w:rsidRPr="001C3B64">
        <w:rPr>
          <w:color w:val="0E101A"/>
          <w:sz w:val="20"/>
          <w:szCs w:val="20"/>
          <w:vertAlign w:val="superscript"/>
        </w:rPr>
        <w:t>,</w:t>
      </w:r>
      <w:bookmarkStart w:id="8" w:name="_Ref163048292"/>
      <w:r w:rsidR="0050793A" w:rsidRPr="001C3B64">
        <w:rPr>
          <w:rStyle w:val="EndnoteReference"/>
          <w:color w:val="0E101A"/>
          <w:sz w:val="20"/>
          <w:szCs w:val="20"/>
        </w:rPr>
        <w:endnoteReference w:id="25"/>
      </w:r>
      <w:bookmarkEnd w:id="8"/>
    </w:p>
    <w:p w14:paraId="4C1B2C08" w14:textId="6D17D2BA" w:rsidR="00080651" w:rsidRPr="00CF062D"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t>Management of compartment syndrome</w:t>
      </w:r>
      <w:r w:rsidR="0050793A" w:rsidRPr="00A15F8C">
        <w:rPr>
          <w:rStyle w:val="EndnoteReference"/>
          <w:color w:val="0E101A"/>
          <w:sz w:val="20"/>
          <w:szCs w:val="20"/>
        </w:rPr>
        <w:endnoteReference w:id="26"/>
      </w:r>
      <w:r w:rsidR="0050793A" w:rsidRPr="00A15F8C">
        <w:rPr>
          <w:color w:val="0E101A"/>
          <w:sz w:val="20"/>
          <w:szCs w:val="20"/>
          <w:vertAlign w:val="superscript"/>
        </w:rPr>
        <w:t>,</w:t>
      </w:r>
      <w:bookmarkStart w:id="9" w:name="_Ref163047268"/>
      <w:r w:rsidR="0050793A" w:rsidRPr="00A15F8C">
        <w:rPr>
          <w:rStyle w:val="EndnoteReference"/>
          <w:sz w:val="20"/>
          <w:szCs w:val="20"/>
          <w:lang w:eastAsia="ja-JP"/>
        </w:rPr>
        <w:endnoteReference w:id="27"/>
      </w:r>
      <w:bookmarkEnd w:id="9"/>
    </w:p>
    <w:p w14:paraId="5FAFB66E" w14:textId="1B10A190" w:rsidR="00080651" w:rsidRPr="00857ADE" w:rsidRDefault="00080651" w:rsidP="00DC3965">
      <w:pPr>
        <w:pStyle w:val="NormalWeb"/>
        <w:numPr>
          <w:ilvl w:val="0"/>
          <w:numId w:val="7"/>
        </w:numPr>
        <w:spacing w:before="0" w:beforeAutospacing="0" w:after="0" w:afterAutospacing="0" w:line="360" w:lineRule="auto"/>
        <w:rPr>
          <w:color w:val="0E101A"/>
          <w:sz w:val="20"/>
          <w:szCs w:val="20"/>
        </w:rPr>
      </w:pPr>
      <w:r w:rsidRPr="00CF062D">
        <w:rPr>
          <w:color w:val="0E101A"/>
          <w:sz w:val="20"/>
          <w:szCs w:val="20"/>
        </w:rPr>
        <w:t>Management of local anaesthetic toxicity</w:t>
      </w:r>
      <w:r w:rsidR="00A15F8C" w:rsidRPr="00A15F8C">
        <w:rPr>
          <w:color w:val="0E101A"/>
          <w:sz w:val="20"/>
          <w:szCs w:val="20"/>
          <w:vertAlign w:val="superscript"/>
        </w:rPr>
        <w:fldChar w:fldCharType="begin"/>
      </w:r>
      <w:r w:rsidR="00A15F8C" w:rsidRPr="00A15F8C">
        <w:rPr>
          <w:color w:val="0E101A"/>
          <w:sz w:val="20"/>
          <w:szCs w:val="20"/>
          <w:vertAlign w:val="superscript"/>
        </w:rPr>
        <w:instrText xml:space="preserve"> NOTEREF _Ref163047428 \h </w:instrText>
      </w:r>
      <w:r w:rsidR="00A15F8C">
        <w:rPr>
          <w:color w:val="0E101A"/>
          <w:sz w:val="20"/>
          <w:szCs w:val="20"/>
          <w:vertAlign w:val="superscript"/>
        </w:rPr>
        <w:instrText xml:space="preserve"> \* MERGEFORMAT </w:instrText>
      </w:r>
      <w:r w:rsidR="00A15F8C" w:rsidRPr="00A15F8C">
        <w:rPr>
          <w:color w:val="0E101A"/>
          <w:sz w:val="20"/>
          <w:szCs w:val="20"/>
          <w:vertAlign w:val="superscript"/>
        </w:rPr>
      </w:r>
      <w:r w:rsidR="00A15F8C" w:rsidRPr="00A15F8C">
        <w:rPr>
          <w:color w:val="0E101A"/>
          <w:sz w:val="20"/>
          <w:szCs w:val="20"/>
          <w:vertAlign w:val="superscript"/>
        </w:rPr>
        <w:fldChar w:fldCharType="separate"/>
      </w:r>
      <w:r w:rsidR="0088690E">
        <w:rPr>
          <w:color w:val="0E101A"/>
          <w:sz w:val="20"/>
          <w:szCs w:val="20"/>
          <w:vertAlign w:val="superscript"/>
        </w:rPr>
        <w:t>5</w:t>
      </w:r>
      <w:r w:rsidR="00A15F8C" w:rsidRPr="00A15F8C">
        <w:rPr>
          <w:color w:val="0E101A"/>
          <w:sz w:val="20"/>
          <w:szCs w:val="20"/>
          <w:vertAlign w:val="superscript"/>
        </w:rPr>
        <w:fldChar w:fldCharType="end"/>
      </w:r>
    </w:p>
    <w:p w14:paraId="2999F489" w14:textId="3248343D" w:rsidR="00B45140" w:rsidRPr="00B45140" w:rsidRDefault="00B45140" w:rsidP="00080651">
      <w:pPr>
        <w:pStyle w:val="recommendation"/>
        <w:rPr>
          <w:lang w:eastAsia="ja-JP"/>
        </w:rPr>
      </w:pPr>
      <w:bookmarkStart w:id="10" w:name="_Hlk153526228"/>
      <w:r w:rsidRPr="00B45140">
        <w:rPr>
          <w:lang w:eastAsia="ja-JP"/>
        </w:rPr>
        <w:t>Children, pregnant women, elderly, those with comorbidities (</w:t>
      </w:r>
      <w:proofErr w:type="gramStart"/>
      <w:r w:rsidRPr="00B45140">
        <w:rPr>
          <w:lang w:eastAsia="ja-JP"/>
        </w:rPr>
        <w:t>e.g.;</w:t>
      </w:r>
      <w:proofErr w:type="gramEnd"/>
      <w:r w:rsidRPr="00B45140">
        <w:rPr>
          <w:lang w:eastAsia="ja-JP"/>
        </w:rPr>
        <w:t xml:space="preserve"> renal failure, cardiac dysfunction or liver insufficiency) and critically ill patients are at higher risk of Local Anaesthetic Systemic Toxicity (LAST). Clear guidelines on the management of Local Anaesthetic systemic toxicity in this population including the administration of lipid emulsion therapy, should be immediately available</w:t>
      </w:r>
      <w:r w:rsidR="008E4CF6" w:rsidRPr="008E4CF6">
        <w:rPr>
          <w:vertAlign w:val="superscript"/>
          <w:lang w:eastAsia="ja-JP"/>
        </w:rPr>
        <w:fldChar w:fldCharType="begin"/>
      </w:r>
      <w:r w:rsidR="008E4CF6" w:rsidRPr="008E4CF6">
        <w:rPr>
          <w:vertAlign w:val="superscript"/>
          <w:lang w:eastAsia="ja-JP"/>
        </w:rPr>
        <w:instrText xml:space="preserve"> NOTEREF _Ref163047647 \h </w:instrText>
      </w:r>
      <w:r w:rsidR="008E4CF6">
        <w:rPr>
          <w:vertAlign w:val="superscript"/>
          <w:lang w:eastAsia="ja-JP"/>
        </w:rPr>
        <w:instrText xml:space="preserve"> \* MERGEFORMAT </w:instrText>
      </w:r>
      <w:r w:rsidR="008E4CF6" w:rsidRPr="008E4CF6">
        <w:rPr>
          <w:vertAlign w:val="superscript"/>
          <w:lang w:eastAsia="ja-JP"/>
        </w:rPr>
      </w:r>
      <w:r w:rsidR="008E4CF6" w:rsidRPr="008E4CF6">
        <w:rPr>
          <w:vertAlign w:val="superscript"/>
          <w:lang w:eastAsia="ja-JP"/>
        </w:rPr>
        <w:fldChar w:fldCharType="separate"/>
      </w:r>
      <w:r w:rsidR="0088690E">
        <w:rPr>
          <w:vertAlign w:val="superscript"/>
          <w:lang w:eastAsia="ja-JP"/>
        </w:rPr>
        <w:t>6</w:t>
      </w:r>
      <w:r w:rsidR="008E4CF6" w:rsidRPr="008E4CF6">
        <w:rPr>
          <w:vertAlign w:val="superscript"/>
          <w:lang w:eastAsia="ja-JP"/>
        </w:rPr>
        <w:fldChar w:fldCharType="end"/>
      </w:r>
      <w:r w:rsidRPr="00B45140">
        <w:rPr>
          <w:lang w:eastAsia="ja-JP"/>
        </w:rPr>
        <w:t>.</w:t>
      </w:r>
    </w:p>
    <w:p w14:paraId="133C8014" w14:textId="489CA526" w:rsidR="00C65206" w:rsidRDefault="00080651" w:rsidP="00080651">
      <w:pPr>
        <w:pStyle w:val="recommendation"/>
        <w:rPr>
          <w:lang w:eastAsia="ja-JP"/>
        </w:rPr>
      </w:pPr>
      <w:r>
        <w:rPr>
          <w:szCs w:val="20"/>
        </w:rPr>
        <w:t xml:space="preserve">In establishing local guidelines, departments may wish to consult the RA-UK </w:t>
      </w:r>
      <w:hyperlink r:id="rId13" w:history="1">
        <w:r w:rsidRPr="008E4CF6">
          <w:rPr>
            <w:rStyle w:val="Hyperlink"/>
            <w:sz w:val="20"/>
            <w:szCs w:val="20"/>
          </w:rPr>
          <w:t>website</w:t>
        </w:r>
      </w:hyperlink>
      <w:r>
        <w:rPr>
          <w:szCs w:val="20"/>
        </w:rPr>
        <w:t xml:space="preserve"> for examples of good practice</w:t>
      </w:r>
      <w:r w:rsidR="00A568B8">
        <w:rPr>
          <w:color w:val="0E101A"/>
          <w:szCs w:val="20"/>
        </w:rPr>
        <w:t xml:space="preserve"> in relation </w:t>
      </w:r>
      <w:bookmarkEnd w:id="10"/>
      <w:r w:rsidRPr="00CF062D">
        <w:rPr>
          <w:color w:val="0E101A"/>
          <w:szCs w:val="20"/>
        </w:rPr>
        <w:t>to regional anaesthesia. </w:t>
      </w:r>
    </w:p>
    <w:p w14:paraId="1FF900D3" w14:textId="6B15378F" w:rsidR="00857ADE" w:rsidRPr="00857ADE" w:rsidRDefault="00A75039" w:rsidP="00A819A4">
      <w:pPr>
        <w:pStyle w:val="Heading2"/>
        <w:ind w:left="993" w:hanging="993"/>
        <w:rPr>
          <w:rFonts w:cs="Segoe UI"/>
          <w:color w:val="151719"/>
          <w:szCs w:val="20"/>
          <w:shd w:val="clear" w:color="auto" w:fill="FFFFFF"/>
        </w:rPr>
      </w:pPr>
      <w:r>
        <w:rPr>
          <w:lang w:eastAsia="ja-JP"/>
        </w:rPr>
        <w:t xml:space="preserve">2      </w:t>
      </w:r>
      <w:r w:rsidR="00080651">
        <w:rPr>
          <w:lang w:eastAsia="ja-JP"/>
        </w:rPr>
        <w:t>Staffing requirements</w:t>
      </w:r>
      <w:r>
        <w:rPr>
          <w:lang w:eastAsia="ja-JP"/>
        </w:rPr>
        <w:t xml:space="preserve"> </w:t>
      </w:r>
    </w:p>
    <w:p w14:paraId="021EEC8C" w14:textId="77777777" w:rsidR="00BF0744" w:rsidRPr="00BF0744" w:rsidRDefault="00BF0744" w:rsidP="00DC3965">
      <w:pPr>
        <w:pStyle w:val="ListParagraph"/>
        <w:keepNext/>
        <w:keepLines/>
        <w:numPr>
          <w:ilvl w:val="0"/>
          <w:numId w:val="4"/>
        </w:numPr>
        <w:spacing w:before="200" w:after="120"/>
        <w:outlineLvl w:val="3"/>
        <w:rPr>
          <w:rFonts w:eastAsia="MS ????"/>
          <w:b/>
          <w:bCs/>
          <w:vanish/>
          <w:sz w:val="24"/>
          <w:szCs w:val="24"/>
          <w:lang w:val="en-GB"/>
        </w:rPr>
      </w:pPr>
      <w:bookmarkStart w:id="11" w:name="_Hlk153526519"/>
    </w:p>
    <w:p w14:paraId="1C2022CB" w14:textId="65170970" w:rsidR="008346A6" w:rsidRPr="008346A6" w:rsidRDefault="008346A6" w:rsidP="008346A6">
      <w:pPr>
        <w:pStyle w:val="recommendation"/>
        <w:rPr>
          <w:rStyle w:val="cf01"/>
          <w:rFonts w:ascii="Century Gothic" w:hAnsi="Century Gothic"/>
          <w:sz w:val="20"/>
          <w:szCs w:val="20"/>
        </w:rPr>
      </w:pPr>
      <w:r w:rsidRPr="008346A6">
        <w:rPr>
          <w:rStyle w:val="cf01"/>
          <w:rFonts w:ascii="Century Gothic" w:hAnsi="Century Gothic"/>
          <w:sz w:val="20"/>
          <w:szCs w:val="20"/>
        </w:rPr>
        <w:t>There should be a dedicated trained assistant (</w:t>
      </w:r>
      <w:proofErr w:type="gramStart"/>
      <w:r w:rsidRPr="008346A6">
        <w:rPr>
          <w:rStyle w:val="cf01"/>
          <w:rFonts w:ascii="Century Gothic" w:hAnsi="Century Gothic"/>
          <w:sz w:val="20"/>
          <w:szCs w:val="20"/>
        </w:rPr>
        <w:t>i.e.</w:t>
      </w:r>
      <w:proofErr w:type="gramEnd"/>
      <w:r w:rsidRPr="008346A6">
        <w:rPr>
          <w:rStyle w:val="cf01"/>
          <w:rFonts w:ascii="Century Gothic" w:hAnsi="Century Gothic"/>
          <w:sz w:val="20"/>
          <w:szCs w:val="20"/>
        </w:rPr>
        <w:t xml:space="preserve"> an ODP, anaesthetic nurse or equivalent) who holds a valid registration with the appropriate regulatory body, immediately available in every location in which regional anaesthesia care is being delivered</w:t>
      </w:r>
      <w:bookmarkStart w:id="12" w:name="_Ref163037876"/>
      <w:r w:rsidR="00225C12">
        <w:rPr>
          <w:rStyle w:val="EndnoteReference"/>
        </w:rPr>
        <w:endnoteReference w:id="28"/>
      </w:r>
      <w:bookmarkEnd w:id="12"/>
      <w:r w:rsidRPr="008346A6">
        <w:rPr>
          <w:rStyle w:val="cf01"/>
          <w:rFonts w:ascii="Century Gothic" w:hAnsi="Century Gothic"/>
          <w:sz w:val="20"/>
          <w:szCs w:val="20"/>
        </w:rPr>
        <w:t>.</w:t>
      </w:r>
    </w:p>
    <w:bookmarkEnd w:id="11"/>
    <w:p w14:paraId="2CB771C3" w14:textId="2708E6BB" w:rsidR="00857ADE" w:rsidRPr="00462DAF" w:rsidRDefault="004B0773" w:rsidP="004B0773">
      <w:pPr>
        <w:pStyle w:val="recommendation"/>
        <w:rPr>
          <w:lang w:eastAsia="ja-JP"/>
        </w:rPr>
      </w:pPr>
      <w:r w:rsidRPr="00462DAF">
        <w:rPr>
          <w:rStyle w:val="cf01"/>
          <w:rFonts w:ascii="Century Gothic" w:hAnsi="Century Gothic" w:cs="Calibri"/>
          <w:color w:val="auto"/>
          <w:sz w:val="20"/>
          <w:szCs w:val="22"/>
          <w:shd w:val="clear" w:color="auto" w:fill="auto"/>
          <w:lang w:eastAsia="ja-JP"/>
        </w:rPr>
        <w:t xml:space="preserve">Practitioners performing regional anaesthesia should have undergone adequate training. Such practice </w:t>
      </w:r>
      <w:r>
        <w:rPr>
          <w:rStyle w:val="cf01"/>
          <w:rFonts w:ascii="Century Gothic" w:hAnsi="Century Gothic" w:cs="Calibri"/>
          <w:color w:val="auto"/>
          <w:sz w:val="20"/>
          <w:szCs w:val="22"/>
          <w:shd w:val="clear" w:color="auto" w:fill="auto"/>
          <w:lang w:eastAsia="ja-JP"/>
        </w:rPr>
        <w:t>should</w:t>
      </w:r>
      <w:r w:rsidRPr="00462DAF">
        <w:rPr>
          <w:rStyle w:val="cf01"/>
          <w:rFonts w:ascii="Century Gothic" w:hAnsi="Century Gothic" w:cs="Calibri"/>
          <w:color w:val="auto"/>
          <w:sz w:val="20"/>
          <w:szCs w:val="22"/>
          <w:shd w:val="clear" w:color="auto" w:fill="auto"/>
          <w:lang w:eastAsia="ja-JP"/>
        </w:rPr>
        <w:t xml:space="preserve"> be in the setting of an appropriate local training programme, with strict adherence to governance protocols and regular review of quality and safety</w:t>
      </w:r>
      <w:r w:rsidR="006C4AC0" w:rsidRPr="001C3B64">
        <w:rPr>
          <w:rStyle w:val="cf01"/>
          <w:rFonts w:ascii="Century Gothic" w:hAnsi="Century Gothic" w:cs="Calibri"/>
          <w:color w:val="auto"/>
          <w:sz w:val="20"/>
          <w:szCs w:val="22"/>
          <w:shd w:val="clear" w:color="auto" w:fill="auto"/>
          <w:vertAlign w:val="superscript"/>
          <w:lang w:eastAsia="ja-JP"/>
        </w:rPr>
        <w:fldChar w:fldCharType="begin"/>
      </w:r>
      <w:r w:rsidR="006C4AC0" w:rsidRPr="001C3B64">
        <w:rPr>
          <w:rStyle w:val="cf01"/>
          <w:rFonts w:ascii="Century Gothic" w:hAnsi="Century Gothic" w:cs="Calibri"/>
          <w:color w:val="auto"/>
          <w:sz w:val="20"/>
          <w:szCs w:val="22"/>
          <w:shd w:val="clear" w:color="auto" w:fill="auto"/>
          <w:vertAlign w:val="superscript"/>
          <w:lang w:eastAsia="ja-JP"/>
        </w:rPr>
        <w:instrText xml:space="preserve"> NOTEREF _Ref163047892 \h </w:instrText>
      </w:r>
      <w:r w:rsidR="006C4AC0">
        <w:rPr>
          <w:rStyle w:val="cf01"/>
          <w:rFonts w:ascii="Century Gothic" w:hAnsi="Century Gothic" w:cs="Calibri"/>
          <w:color w:val="auto"/>
          <w:sz w:val="20"/>
          <w:szCs w:val="22"/>
          <w:shd w:val="clear" w:color="auto" w:fill="auto"/>
          <w:vertAlign w:val="superscript"/>
          <w:lang w:eastAsia="ja-JP"/>
        </w:rPr>
        <w:instrText xml:space="preserve"> \* MERGEFORMAT </w:instrText>
      </w:r>
      <w:r w:rsidR="006C4AC0" w:rsidRPr="001C3B64">
        <w:rPr>
          <w:rStyle w:val="cf01"/>
          <w:rFonts w:ascii="Century Gothic" w:hAnsi="Century Gothic" w:cs="Calibri"/>
          <w:color w:val="auto"/>
          <w:sz w:val="20"/>
          <w:szCs w:val="22"/>
          <w:shd w:val="clear" w:color="auto" w:fill="auto"/>
          <w:vertAlign w:val="superscript"/>
          <w:lang w:eastAsia="ja-JP"/>
        </w:rPr>
      </w:r>
      <w:r w:rsidR="006C4AC0" w:rsidRPr="001C3B64">
        <w:rPr>
          <w:rStyle w:val="cf01"/>
          <w:rFonts w:ascii="Century Gothic" w:hAnsi="Century Gothic" w:cs="Calibri"/>
          <w:color w:val="auto"/>
          <w:sz w:val="20"/>
          <w:szCs w:val="22"/>
          <w:shd w:val="clear" w:color="auto" w:fill="auto"/>
          <w:vertAlign w:val="superscript"/>
          <w:lang w:eastAsia="ja-JP"/>
        </w:rPr>
        <w:fldChar w:fldCharType="separate"/>
      </w:r>
      <w:r w:rsidR="0088690E">
        <w:rPr>
          <w:rStyle w:val="cf01"/>
          <w:rFonts w:ascii="Century Gothic" w:hAnsi="Century Gothic" w:cs="Calibri"/>
          <w:color w:val="auto"/>
          <w:sz w:val="20"/>
          <w:szCs w:val="22"/>
          <w:shd w:val="clear" w:color="auto" w:fill="auto"/>
          <w:vertAlign w:val="superscript"/>
          <w:lang w:eastAsia="ja-JP"/>
        </w:rPr>
        <w:t>15</w:t>
      </w:r>
      <w:r w:rsidR="006C4AC0" w:rsidRPr="001C3B64">
        <w:rPr>
          <w:rStyle w:val="cf01"/>
          <w:rFonts w:ascii="Century Gothic" w:hAnsi="Century Gothic" w:cs="Calibri"/>
          <w:color w:val="auto"/>
          <w:sz w:val="20"/>
          <w:szCs w:val="22"/>
          <w:shd w:val="clear" w:color="auto" w:fill="auto"/>
          <w:vertAlign w:val="superscript"/>
          <w:lang w:eastAsia="ja-JP"/>
        </w:rPr>
        <w:fldChar w:fldCharType="end"/>
      </w:r>
      <w:r w:rsidRPr="00462DAF">
        <w:rPr>
          <w:rStyle w:val="cf01"/>
          <w:rFonts w:ascii="Century Gothic" w:hAnsi="Century Gothic" w:cs="Calibri"/>
          <w:color w:val="auto"/>
          <w:sz w:val="20"/>
          <w:szCs w:val="22"/>
          <w:shd w:val="clear" w:color="auto" w:fill="auto"/>
          <w:lang w:eastAsia="ja-JP"/>
        </w:rPr>
        <w:t>.</w:t>
      </w:r>
    </w:p>
    <w:p w14:paraId="0368F70C" w14:textId="56FD0F3F" w:rsidR="00462DAF" w:rsidRDefault="00462DAF" w:rsidP="00857ADE">
      <w:pPr>
        <w:pStyle w:val="recommendation"/>
        <w:rPr>
          <w:rStyle w:val="cf01"/>
          <w:rFonts w:ascii="Century Gothic" w:hAnsi="Century Gothic" w:cs="Calibri"/>
          <w:color w:val="auto"/>
          <w:sz w:val="20"/>
          <w:szCs w:val="22"/>
          <w:shd w:val="clear" w:color="auto" w:fill="auto"/>
          <w:lang w:eastAsia="ja-JP"/>
        </w:rPr>
      </w:pPr>
      <w:r w:rsidRPr="00462DAF">
        <w:rPr>
          <w:rStyle w:val="cf01"/>
          <w:rFonts w:ascii="Century Gothic" w:hAnsi="Century Gothic" w:cs="Calibri"/>
          <w:color w:val="auto"/>
          <w:sz w:val="20"/>
          <w:szCs w:val="22"/>
          <w:shd w:val="clear" w:color="auto" w:fill="auto"/>
          <w:lang w:eastAsia="ja-JP"/>
        </w:rPr>
        <w:t xml:space="preserve">Local policies should be in place to define the scope of intraoperative monitoring by non-anaesthetist health care workers. These policies </w:t>
      </w:r>
      <w:r w:rsidR="007A2731">
        <w:rPr>
          <w:rStyle w:val="cf01"/>
          <w:rFonts w:ascii="Century Gothic" w:hAnsi="Century Gothic" w:cs="Calibri"/>
          <w:color w:val="auto"/>
          <w:sz w:val="20"/>
          <w:szCs w:val="22"/>
          <w:shd w:val="clear" w:color="auto" w:fill="auto"/>
          <w:lang w:eastAsia="ja-JP"/>
        </w:rPr>
        <w:t>should</w:t>
      </w:r>
      <w:r w:rsidRPr="00462DAF">
        <w:rPr>
          <w:rStyle w:val="cf01"/>
          <w:rFonts w:ascii="Century Gothic" w:hAnsi="Century Gothic" w:cs="Calibri"/>
          <w:color w:val="auto"/>
          <w:sz w:val="20"/>
          <w:szCs w:val="22"/>
          <w:shd w:val="clear" w:color="auto" w:fill="auto"/>
          <w:lang w:eastAsia="ja-JP"/>
        </w:rPr>
        <w:t xml:space="preserve"> meet the criteria proposed by RA-</w:t>
      </w:r>
      <w:r w:rsidR="007A2731">
        <w:rPr>
          <w:rStyle w:val="cf01"/>
          <w:rFonts w:ascii="Century Gothic" w:hAnsi="Century Gothic" w:cs="Calibri"/>
          <w:color w:val="auto"/>
          <w:sz w:val="20"/>
          <w:szCs w:val="22"/>
          <w:shd w:val="clear" w:color="auto" w:fill="auto"/>
          <w:lang w:eastAsia="ja-JP"/>
        </w:rPr>
        <w:t>UK</w:t>
      </w:r>
      <w:r w:rsidR="00181137" w:rsidRPr="00181137">
        <w:rPr>
          <w:rStyle w:val="cf01"/>
          <w:rFonts w:ascii="Century Gothic" w:hAnsi="Century Gothic" w:cs="Calibri"/>
          <w:color w:val="auto"/>
          <w:sz w:val="20"/>
          <w:szCs w:val="22"/>
          <w:shd w:val="clear" w:color="auto" w:fill="auto"/>
          <w:vertAlign w:val="superscript"/>
          <w:lang w:eastAsia="ja-JP"/>
        </w:rPr>
        <w:fldChar w:fldCharType="begin"/>
      </w:r>
      <w:r w:rsidR="00181137" w:rsidRPr="00181137">
        <w:rPr>
          <w:rStyle w:val="cf01"/>
          <w:rFonts w:ascii="Century Gothic" w:hAnsi="Century Gothic" w:cs="Calibri"/>
          <w:color w:val="auto"/>
          <w:sz w:val="20"/>
          <w:szCs w:val="22"/>
          <w:shd w:val="clear" w:color="auto" w:fill="auto"/>
          <w:vertAlign w:val="superscript"/>
          <w:lang w:eastAsia="ja-JP"/>
        </w:rPr>
        <w:instrText xml:space="preserve"> NOTEREF _Ref160116243 \h </w:instrText>
      </w:r>
      <w:r w:rsidR="00181137">
        <w:rPr>
          <w:rStyle w:val="cf01"/>
          <w:rFonts w:ascii="Century Gothic" w:hAnsi="Century Gothic" w:cs="Calibri"/>
          <w:color w:val="auto"/>
          <w:sz w:val="20"/>
          <w:szCs w:val="22"/>
          <w:shd w:val="clear" w:color="auto" w:fill="auto"/>
          <w:vertAlign w:val="superscript"/>
          <w:lang w:eastAsia="ja-JP"/>
        </w:rPr>
        <w:instrText xml:space="preserve"> \* MERGEFORMAT </w:instrText>
      </w:r>
      <w:r w:rsidR="00181137" w:rsidRPr="00181137">
        <w:rPr>
          <w:rStyle w:val="cf01"/>
          <w:rFonts w:ascii="Century Gothic" w:hAnsi="Century Gothic" w:cs="Calibri"/>
          <w:color w:val="auto"/>
          <w:sz w:val="20"/>
          <w:szCs w:val="22"/>
          <w:shd w:val="clear" w:color="auto" w:fill="auto"/>
          <w:vertAlign w:val="superscript"/>
          <w:lang w:eastAsia="ja-JP"/>
        </w:rPr>
      </w:r>
      <w:r w:rsidR="00181137" w:rsidRPr="00181137">
        <w:rPr>
          <w:rStyle w:val="cf01"/>
          <w:rFonts w:ascii="Century Gothic" w:hAnsi="Century Gothic" w:cs="Calibri"/>
          <w:color w:val="auto"/>
          <w:sz w:val="20"/>
          <w:szCs w:val="22"/>
          <w:shd w:val="clear" w:color="auto" w:fill="auto"/>
          <w:vertAlign w:val="superscript"/>
          <w:lang w:eastAsia="ja-JP"/>
        </w:rPr>
        <w:fldChar w:fldCharType="separate"/>
      </w:r>
      <w:r w:rsidR="0088690E">
        <w:rPr>
          <w:rStyle w:val="cf01"/>
          <w:rFonts w:ascii="Century Gothic" w:hAnsi="Century Gothic" w:cs="Calibri"/>
          <w:color w:val="auto"/>
          <w:sz w:val="20"/>
          <w:szCs w:val="22"/>
          <w:shd w:val="clear" w:color="auto" w:fill="auto"/>
          <w:vertAlign w:val="superscript"/>
          <w:lang w:eastAsia="ja-JP"/>
        </w:rPr>
        <w:t>16</w:t>
      </w:r>
      <w:r w:rsidR="00181137" w:rsidRPr="00181137">
        <w:rPr>
          <w:rStyle w:val="cf01"/>
          <w:rFonts w:ascii="Century Gothic" w:hAnsi="Century Gothic" w:cs="Calibri"/>
          <w:color w:val="auto"/>
          <w:sz w:val="20"/>
          <w:szCs w:val="22"/>
          <w:shd w:val="clear" w:color="auto" w:fill="auto"/>
          <w:vertAlign w:val="superscript"/>
          <w:lang w:eastAsia="ja-JP"/>
        </w:rPr>
        <w:fldChar w:fldCharType="end"/>
      </w:r>
      <w:r w:rsidR="00A819A4">
        <w:rPr>
          <w:rStyle w:val="cf01"/>
          <w:rFonts w:ascii="Century Gothic" w:hAnsi="Century Gothic" w:cs="Calibri"/>
          <w:color w:val="auto"/>
          <w:sz w:val="20"/>
          <w:szCs w:val="22"/>
          <w:shd w:val="clear" w:color="auto" w:fill="auto"/>
          <w:lang w:eastAsia="ja-JP"/>
        </w:rPr>
        <w:t>.</w:t>
      </w:r>
    </w:p>
    <w:p w14:paraId="41569EC2" w14:textId="133AD7A9" w:rsidR="004B0773" w:rsidRDefault="004B0773" w:rsidP="00857ADE">
      <w:pPr>
        <w:pStyle w:val="recommendation"/>
        <w:rPr>
          <w:rStyle w:val="cf01"/>
          <w:rFonts w:ascii="Century Gothic" w:hAnsi="Century Gothic" w:cs="Calibri"/>
          <w:color w:val="auto"/>
          <w:sz w:val="20"/>
          <w:szCs w:val="22"/>
          <w:shd w:val="clear" w:color="auto" w:fill="auto"/>
          <w:lang w:eastAsia="ja-JP"/>
        </w:rPr>
      </w:pPr>
      <w:r>
        <w:rPr>
          <w:color w:val="0E101A"/>
          <w:szCs w:val="20"/>
        </w:rPr>
        <w:t>Appropriately trained healthcare workers</w:t>
      </w:r>
      <w:r w:rsidRPr="00CF062D">
        <w:rPr>
          <w:color w:val="0E101A"/>
          <w:szCs w:val="20"/>
        </w:rPr>
        <w:t xml:space="preserve"> monitoring patients </w:t>
      </w:r>
      <w:r>
        <w:rPr>
          <w:color w:val="0E101A"/>
          <w:szCs w:val="20"/>
        </w:rPr>
        <w:t>who have undergone regional anaesthesia should</w:t>
      </w:r>
      <w:r w:rsidRPr="00CF062D">
        <w:rPr>
          <w:color w:val="0E101A"/>
          <w:szCs w:val="20"/>
        </w:rPr>
        <w:t xml:space="preserve"> be specifically trained with their competencies clearly defined according to the </w:t>
      </w:r>
      <w:r>
        <w:rPr>
          <w:color w:val="0E101A"/>
          <w:szCs w:val="20"/>
        </w:rPr>
        <w:t>Association of Anaesthetists’</w:t>
      </w:r>
      <w:r w:rsidRPr="00CF062D">
        <w:rPr>
          <w:color w:val="0E101A"/>
          <w:szCs w:val="20"/>
        </w:rPr>
        <w:t xml:space="preserve"> requirements for PACU (recovery) nursing</w:t>
      </w:r>
      <w:r>
        <w:rPr>
          <w:rStyle w:val="EndnoteReference"/>
          <w:color w:val="0E101A"/>
          <w:szCs w:val="20"/>
        </w:rPr>
        <w:endnoteReference w:id="29"/>
      </w:r>
      <w:r w:rsidRPr="00CF062D">
        <w:rPr>
          <w:color w:val="0E101A"/>
          <w:szCs w:val="20"/>
        </w:rPr>
        <w:t>.</w:t>
      </w:r>
      <w:r>
        <w:rPr>
          <w:color w:val="0E101A"/>
          <w:szCs w:val="20"/>
        </w:rPr>
        <w:t xml:space="preserve"> This individual should be able to recognise symptoms and signs of local anaesthetic toxicity</w:t>
      </w:r>
      <w:r w:rsidR="00A54C2E" w:rsidRPr="00A54C2E">
        <w:rPr>
          <w:color w:val="0E101A"/>
          <w:szCs w:val="20"/>
          <w:vertAlign w:val="superscript"/>
        </w:rPr>
        <w:fldChar w:fldCharType="begin"/>
      </w:r>
      <w:r w:rsidR="00A54C2E" w:rsidRPr="00A54C2E">
        <w:rPr>
          <w:color w:val="0E101A"/>
          <w:szCs w:val="20"/>
          <w:vertAlign w:val="superscript"/>
        </w:rPr>
        <w:instrText xml:space="preserve"> NOTEREF _Ref163048292 \h </w:instrText>
      </w:r>
      <w:r w:rsidR="00A54C2E">
        <w:rPr>
          <w:color w:val="0E101A"/>
          <w:szCs w:val="20"/>
          <w:vertAlign w:val="superscript"/>
        </w:rPr>
        <w:instrText xml:space="preserve"> \* MERGEFORMAT </w:instrText>
      </w:r>
      <w:r w:rsidR="00A54C2E" w:rsidRPr="00A54C2E">
        <w:rPr>
          <w:color w:val="0E101A"/>
          <w:szCs w:val="20"/>
          <w:vertAlign w:val="superscript"/>
        </w:rPr>
      </w:r>
      <w:r w:rsidR="00A54C2E" w:rsidRPr="00A54C2E">
        <w:rPr>
          <w:color w:val="0E101A"/>
          <w:szCs w:val="20"/>
          <w:vertAlign w:val="superscript"/>
        </w:rPr>
        <w:fldChar w:fldCharType="separate"/>
      </w:r>
      <w:r w:rsidR="0088690E">
        <w:rPr>
          <w:color w:val="0E101A"/>
          <w:szCs w:val="20"/>
          <w:vertAlign w:val="superscript"/>
        </w:rPr>
        <w:t>25</w:t>
      </w:r>
      <w:r w:rsidR="00A54C2E" w:rsidRPr="00A54C2E">
        <w:rPr>
          <w:color w:val="0E101A"/>
          <w:szCs w:val="20"/>
          <w:vertAlign w:val="superscript"/>
        </w:rPr>
        <w:fldChar w:fldCharType="end"/>
      </w:r>
      <w:r>
        <w:rPr>
          <w:color w:val="0E101A"/>
          <w:szCs w:val="20"/>
        </w:rPr>
        <w:t>.</w:t>
      </w:r>
    </w:p>
    <w:p w14:paraId="5B4B66BB" w14:textId="6B10C18A" w:rsidR="00462DAF" w:rsidRPr="002D5B87" w:rsidRDefault="00462DAF" w:rsidP="00857ADE">
      <w:pPr>
        <w:pStyle w:val="recommendation"/>
        <w:rPr>
          <w:rStyle w:val="cf01"/>
          <w:rFonts w:ascii="Century Gothic" w:hAnsi="Century Gothic" w:cs="Calibri"/>
          <w:color w:val="auto"/>
          <w:sz w:val="20"/>
          <w:szCs w:val="22"/>
          <w:shd w:val="clear" w:color="auto" w:fill="auto"/>
          <w:lang w:eastAsia="ja-JP"/>
        </w:rPr>
      </w:pPr>
      <w:r w:rsidRPr="00462DAF">
        <w:rPr>
          <w:rStyle w:val="cf01"/>
          <w:rFonts w:ascii="Century Gothic" w:hAnsi="Century Gothic" w:cs="Calibri"/>
          <w:color w:val="auto"/>
          <w:sz w:val="20"/>
          <w:szCs w:val="22"/>
          <w:shd w:val="clear" w:color="auto" w:fill="auto"/>
          <w:lang w:eastAsia="ja-JP"/>
        </w:rPr>
        <w:t xml:space="preserve">A ‘block room’ </w:t>
      </w:r>
      <w:r>
        <w:rPr>
          <w:rStyle w:val="cf01"/>
          <w:rFonts w:ascii="Century Gothic" w:hAnsi="Century Gothic" w:cs="Calibri"/>
          <w:color w:val="auto"/>
          <w:sz w:val="20"/>
          <w:szCs w:val="22"/>
          <w:shd w:val="clear" w:color="auto" w:fill="auto"/>
          <w:lang w:eastAsia="ja-JP"/>
        </w:rPr>
        <w:t xml:space="preserve">utilising a parallel processing method </w:t>
      </w:r>
      <w:r w:rsidRPr="00462DAF">
        <w:rPr>
          <w:rStyle w:val="cf01"/>
          <w:rFonts w:ascii="Century Gothic" w:hAnsi="Century Gothic" w:cs="Calibri"/>
          <w:color w:val="auto"/>
          <w:sz w:val="20"/>
          <w:szCs w:val="22"/>
          <w:shd w:val="clear" w:color="auto" w:fill="auto"/>
          <w:lang w:eastAsia="ja-JP"/>
        </w:rPr>
        <w:t xml:space="preserve">is a cost-effective model for providing regional anaesthesia in a theatre environment. Staffing numbers may be determined locally depending on how many beds are in the block room but there </w:t>
      </w:r>
      <w:r w:rsidR="007A2731">
        <w:rPr>
          <w:rStyle w:val="cf01"/>
          <w:rFonts w:ascii="Century Gothic" w:hAnsi="Century Gothic" w:cs="Calibri"/>
          <w:color w:val="auto"/>
          <w:sz w:val="20"/>
          <w:szCs w:val="22"/>
          <w:shd w:val="clear" w:color="auto" w:fill="auto"/>
          <w:lang w:eastAsia="ja-JP"/>
        </w:rPr>
        <w:t>should</w:t>
      </w:r>
      <w:r w:rsidRPr="00462DAF">
        <w:rPr>
          <w:rStyle w:val="cf01"/>
          <w:rFonts w:ascii="Century Gothic" w:hAnsi="Century Gothic" w:cs="Calibri"/>
          <w:color w:val="auto"/>
          <w:sz w:val="20"/>
          <w:szCs w:val="22"/>
          <w:shd w:val="clear" w:color="auto" w:fill="auto"/>
          <w:lang w:eastAsia="ja-JP"/>
        </w:rPr>
        <w:t xml:space="preserve"> be </w:t>
      </w:r>
      <w:proofErr w:type="gramStart"/>
      <w:r w:rsidRPr="00462DAF">
        <w:rPr>
          <w:rStyle w:val="cf01"/>
          <w:rFonts w:ascii="Century Gothic" w:hAnsi="Century Gothic" w:cs="Calibri"/>
          <w:color w:val="auto"/>
          <w:sz w:val="20"/>
          <w:szCs w:val="22"/>
          <w:shd w:val="clear" w:color="auto" w:fill="auto"/>
          <w:lang w:eastAsia="ja-JP"/>
        </w:rPr>
        <w:t>sufficient numbers of</w:t>
      </w:r>
      <w:proofErr w:type="gramEnd"/>
      <w:r w:rsidRPr="00462DAF">
        <w:rPr>
          <w:rStyle w:val="cf01"/>
          <w:rFonts w:ascii="Century Gothic" w:hAnsi="Century Gothic" w:cs="Calibri"/>
          <w:color w:val="auto"/>
          <w:sz w:val="20"/>
          <w:szCs w:val="22"/>
          <w:shd w:val="clear" w:color="auto" w:fill="auto"/>
          <w:lang w:eastAsia="ja-JP"/>
        </w:rPr>
        <w:t xml:space="preserve"> trained staff to both assist the anaesthetist and monitor patients. Staffing in the block room </w:t>
      </w:r>
      <w:r w:rsidR="007A2731">
        <w:rPr>
          <w:rStyle w:val="cf01"/>
          <w:rFonts w:ascii="Century Gothic" w:hAnsi="Century Gothic" w:cs="Calibri"/>
          <w:color w:val="auto"/>
          <w:sz w:val="20"/>
          <w:szCs w:val="22"/>
          <w:shd w:val="clear" w:color="auto" w:fill="auto"/>
          <w:lang w:eastAsia="ja-JP"/>
        </w:rPr>
        <w:t>should</w:t>
      </w:r>
      <w:r w:rsidRPr="00462DAF">
        <w:rPr>
          <w:rStyle w:val="cf01"/>
          <w:rFonts w:ascii="Century Gothic" w:hAnsi="Century Gothic" w:cs="Calibri"/>
          <w:color w:val="auto"/>
          <w:sz w:val="20"/>
          <w:szCs w:val="22"/>
          <w:shd w:val="clear" w:color="auto" w:fill="auto"/>
          <w:lang w:eastAsia="ja-JP"/>
        </w:rPr>
        <w:t xml:space="preserve"> be adequate to safely manage all patients if anaesthetists are required to attend to a patient</w:t>
      </w:r>
      <w:r w:rsidR="00863C8D">
        <w:rPr>
          <w:rStyle w:val="cf01"/>
          <w:rFonts w:ascii="Century Gothic" w:hAnsi="Century Gothic" w:cs="Calibri"/>
          <w:color w:val="auto"/>
          <w:sz w:val="20"/>
          <w:szCs w:val="22"/>
          <w:shd w:val="clear" w:color="auto" w:fill="auto"/>
          <w:lang w:eastAsia="ja-JP"/>
        </w:rPr>
        <w:t xml:space="preserve"> urgently</w:t>
      </w:r>
      <w:r w:rsidRPr="00462DAF">
        <w:rPr>
          <w:rStyle w:val="cf01"/>
          <w:rFonts w:ascii="Century Gothic" w:hAnsi="Century Gothic" w:cs="Calibri"/>
          <w:color w:val="auto"/>
          <w:sz w:val="20"/>
          <w:szCs w:val="22"/>
          <w:shd w:val="clear" w:color="auto" w:fill="auto"/>
          <w:lang w:eastAsia="ja-JP"/>
        </w:rPr>
        <w:t xml:space="preserve"> in the </w:t>
      </w:r>
      <w:r w:rsidR="007A2731">
        <w:rPr>
          <w:rStyle w:val="cf01"/>
          <w:rFonts w:ascii="Century Gothic" w:hAnsi="Century Gothic" w:cs="Calibri"/>
          <w:color w:val="auto"/>
          <w:sz w:val="20"/>
          <w:szCs w:val="22"/>
          <w:shd w:val="clear" w:color="auto" w:fill="auto"/>
          <w:lang w:eastAsia="ja-JP"/>
        </w:rPr>
        <w:t xml:space="preserve">operating </w:t>
      </w:r>
      <w:r w:rsidRPr="00462DAF">
        <w:rPr>
          <w:rStyle w:val="cf01"/>
          <w:rFonts w:ascii="Century Gothic" w:hAnsi="Century Gothic" w:cs="Calibri"/>
          <w:color w:val="auto"/>
          <w:sz w:val="20"/>
          <w:szCs w:val="22"/>
          <w:shd w:val="clear" w:color="auto" w:fill="auto"/>
          <w:lang w:eastAsia="ja-JP"/>
        </w:rPr>
        <w:t>theatre</w:t>
      </w:r>
      <w:r w:rsidR="00A54C2E">
        <w:rPr>
          <w:rStyle w:val="EndnoteReference"/>
          <w:lang w:eastAsia="ja-JP"/>
        </w:rPr>
        <w:endnoteReference w:id="30"/>
      </w:r>
      <w:r w:rsidRPr="00462DAF">
        <w:rPr>
          <w:rStyle w:val="cf01"/>
          <w:rFonts w:ascii="Century Gothic" w:hAnsi="Century Gothic" w:cs="Calibri"/>
          <w:color w:val="auto"/>
          <w:sz w:val="20"/>
          <w:szCs w:val="22"/>
          <w:shd w:val="clear" w:color="auto" w:fill="auto"/>
          <w:lang w:eastAsia="ja-JP"/>
        </w:rPr>
        <w:t>.</w:t>
      </w:r>
    </w:p>
    <w:p w14:paraId="1A5AD834" w14:textId="50E9179B" w:rsidR="00857ADE" w:rsidRDefault="00BF0744" w:rsidP="00857ADE">
      <w:pPr>
        <w:pStyle w:val="Heading2"/>
        <w:ind w:left="993" w:hanging="993"/>
        <w:rPr>
          <w:lang w:eastAsia="ja-JP"/>
        </w:rPr>
      </w:pPr>
      <w:r>
        <w:rPr>
          <w:lang w:eastAsia="ja-JP"/>
        </w:rPr>
        <w:t>3</w:t>
      </w:r>
      <w:r w:rsidR="00857ADE">
        <w:rPr>
          <w:lang w:eastAsia="ja-JP"/>
        </w:rPr>
        <w:t xml:space="preserve">     </w:t>
      </w:r>
      <w:r>
        <w:rPr>
          <w:lang w:eastAsia="ja-JP"/>
        </w:rPr>
        <w:t xml:space="preserve">Equipment, </w:t>
      </w:r>
      <w:proofErr w:type="gramStart"/>
      <w:r>
        <w:rPr>
          <w:lang w:eastAsia="ja-JP"/>
        </w:rPr>
        <w:t>services</w:t>
      </w:r>
      <w:proofErr w:type="gramEnd"/>
      <w:r>
        <w:rPr>
          <w:lang w:eastAsia="ja-JP"/>
        </w:rPr>
        <w:t xml:space="preserve"> and facilities</w:t>
      </w:r>
      <w:r w:rsidR="00857ADE">
        <w:rPr>
          <w:lang w:eastAsia="ja-JP"/>
        </w:rPr>
        <w:t xml:space="preserve"> </w:t>
      </w:r>
    </w:p>
    <w:p w14:paraId="5081B65D" w14:textId="108A76CD" w:rsidR="006F70B4" w:rsidRPr="006F70B4" w:rsidRDefault="00C02FAA" w:rsidP="006F70B4">
      <w:pPr>
        <w:rPr>
          <w:lang w:eastAsia="ja-JP"/>
        </w:rPr>
      </w:pPr>
      <w:r w:rsidRPr="006F70B4">
        <w:rPr>
          <w:lang w:eastAsia="ja-JP"/>
        </w:rPr>
        <w:t xml:space="preserve">The environment in which regional anaesthesia is undertaken should be adequately equipped to </w:t>
      </w:r>
      <w:r>
        <w:rPr>
          <w:lang w:eastAsia="ja-JP"/>
        </w:rPr>
        <w:t>facilitate</w:t>
      </w:r>
      <w:r w:rsidRPr="006F70B4">
        <w:rPr>
          <w:lang w:eastAsia="ja-JP"/>
        </w:rPr>
        <w:t xml:space="preserve"> the safe conduct of the procedure and management of any immediate complications. It is recogni</w:t>
      </w:r>
      <w:r>
        <w:rPr>
          <w:lang w:eastAsia="ja-JP"/>
        </w:rPr>
        <w:t>s</w:t>
      </w:r>
      <w:r w:rsidRPr="006F70B4">
        <w:rPr>
          <w:lang w:eastAsia="ja-JP"/>
        </w:rPr>
        <w:t xml:space="preserve">ed that while most regional anaesthesia is carried out within the theatre or block room environment, there are clinical areas such as </w:t>
      </w:r>
      <w:r>
        <w:rPr>
          <w:lang w:eastAsia="ja-JP"/>
        </w:rPr>
        <w:t>the</w:t>
      </w:r>
      <w:r w:rsidRPr="006F70B4">
        <w:rPr>
          <w:lang w:eastAsia="ja-JP"/>
        </w:rPr>
        <w:t xml:space="preserve"> Emergency</w:t>
      </w:r>
      <w:r>
        <w:rPr>
          <w:lang w:eastAsia="ja-JP"/>
        </w:rPr>
        <w:t xml:space="preserve"> Department</w:t>
      </w:r>
      <w:r w:rsidRPr="006F70B4">
        <w:rPr>
          <w:lang w:eastAsia="ja-JP"/>
        </w:rPr>
        <w:t xml:space="preserve">, </w:t>
      </w:r>
      <w:r>
        <w:rPr>
          <w:lang w:eastAsia="ja-JP"/>
        </w:rPr>
        <w:t>the Intensive Care Unit</w:t>
      </w:r>
      <w:r w:rsidRPr="006F70B4">
        <w:rPr>
          <w:lang w:eastAsia="ja-JP"/>
        </w:rPr>
        <w:t xml:space="preserve"> and Labour wards that may require local </w:t>
      </w:r>
      <w:r>
        <w:rPr>
          <w:lang w:eastAsia="ja-JP"/>
        </w:rPr>
        <w:t>t</w:t>
      </w:r>
      <w:r w:rsidRPr="006F70B4">
        <w:rPr>
          <w:lang w:eastAsia="ja-JP"/>
        </w:rPr>
        <w:t>rust review of how best to ensure safe delivery in line with the following recommendations</w:t>
      </w:r>
      <w:r w:rsidR="006F70B4">
        <w:rPr>
          <w:rStyle w:val="EndnoteReference"/>
          <w:lang w:eastAsia="ja-JP"/>
        </w:rPr>
        <w:endnoteReference w:id="31"/>
      </w:r>
      <w:r w:rsidR="006F70B4" w:rsidRPr="006F70B4">
        <w:rPr>
          <w:lang w:eastAsia="ja-JP"/>
        </w:rPr>
        <w:t>.</w:t>
      </w:r>
    </w:p>
    <w:p w14:paraId="5837CECD" w14:textId="468DEFE5" w:rsidR="00857ADE" w:rsidRDefault="00857ADE" w:rsidP="00C510D7">
      <w:pPr>
        <w:pStyle w:val="Heading3"/>
        <w:rPr>
          <w:lang w:eastAsia="ja-JP"/>
        </w:rPr>
      </w:pPr>
      <w:r>
        <w:rPr>
          <w:lang w:eastAsia="ja-JP"/>
        </w:rPr>
        <w:lastRenderedPageBreak/>
        <w:t xml:space="preserve">Equipment </w:t>
      </w:r>
      <w:r w:rsidR="00BF0744">
        <w:rPr>
          <w:lang w:eastAsia="ja-JP"/>
        </w:rPr>
        <w:t>and monitoring</w:t>
      </w:r>
    </w:p>
    <w:p w14:paraId="70057918" w14:textId="77777777" w:rsidR="00857ADE" w:rsidRPr="00A75039" w:rsidRDefault="00857ADE" w:rsidP="00DC3965">
      <w:pPr>
        <w:pStyle w:val="ListParagraph"/>
        <w:keepNext/>
        <w:keepLines/>
        <w:numPr>
          <w:ilvl w:val="0"/>
          <w:numId w:val="4"/>
        </w:numPr>
        <w:spacing w:before="200" w:after="120"/>
        <w:outlineLvl w:val="3"/>
        <w:rPr>
          <w:rFonts w:eastAsia="MS ????"/>
          <w:b/>
          <w:bCs/>
          <w:vanish/>
          <w:sz w:val="24"/>
          <w:szCs w:val="24"/>
          <w:lang w:eastAsia="ja-JP"/>
        </w:rPr>
      </w:pPr>
    </w:p>
    <w:p w14:paraId="1D0379C5" w14:textId="592D49D3" w:rsidR="00857ADE" w:rsidRPr="00BF0744" w:rsidRDefault="00BF0744" w:rsidP="00857ADE">
      <w:pPr>
        <w:pStyle w:val="recommendation"/>
        <w:rPr>
          <w:lang w:eastAsia="ja-JP"/>
        </w:rPr>
      </w:pPr>
      <w:bookmarkStart w:id="13" w:name="_Hlk153806534"/>
      <w:r w:rsidRPr="00CF062D">
        <w:rPr>
          <w:rFonts w:cs="Arial"/>
          <w:color w:val="000000"/>
          <w:szCs w:val="20"/>
        </w:rPr>
        <w:t xml:space="preserve">The following equipment is required as </w:t>
      </w:r>
      <w:r>
        <w:rPr>
          <w:rFonts w:cs="Arial"/>
          <w:color w:val="000000"/>
          <w:szCs w:val="20"/>
        </w:rPr>
        <w:t xml:space="preserve">a </w:t>
      </w:r>
      <w:r w:rsidRPr="00CF062D">
        <w:rPr>
          <w:rFonts w:cs="Arial"/>
          <w:color w:val="000000"/>
          <w:szCs w:val="20"/>
        </w:rPr>
        <w:t>minimum standard for the safe delivery of regional anaesthesia</w:t>
      </w:r>
      <w:r>
        <w:rPr>
          <w:rFonts w:cs="Arial"/>
          <w:color w:val="000000"/>
          <w:szCs w:val="20"/>
        </w:rPr>
        <w:t>:</w:t>
      </w:r>
    </w:p>
    <w:bookmarkEnd w:id="13"/>
    <w:p w14:paraId="6083CD4C" w14:textId="4720E2FD" w:rsidR="00BF0744" w:rsidRPr="00CF062D" w:rsidRDefault="00A4445A" w:rsidP="00DC3965">
      <w:pPr>
        <w:pStyle w:val="ListParagraph"/>
        <w:numPr>
          <w:ilvl w:val="0"/>
          <w:numId w:val="8"/>
        </w:numPr>
        <w:autoSpaceDE w:val="0"/>
        <w:autoSpaceDN w:val="0"/>
        <w:adjustRightInd w:val="0"/>
        <w:spacing w:after="0"/>
        <w:contextualSpacing/>
        <w:rPr>
          <w:rFonts w:cs="Arial"/>
          <w:color w:val="000000"/>
          <w:szCs w:val="20"/>
        </w:rPr>
      </w:pPr>
      <w:r>
        <w:rPr>
          <w:rFonts w:cs="Arial"/>
          <w:color w:val="000000"/>
          <w:szCs w:val="20"/>
        </w:rPr>
        <w:t>R</w:t>
      </w:r>
      <w:r w:rsidR="00BF0744">
        <w:rPr>
          <w:rFonts w:cs="Arial"/>
          <w:color w:val="000000"/>
          <w:szCs w:val="20"/>
        </w:rPr>
        <w:t xml:space="preserve">egional anaesthesia </w:t>
      </w:r>
      <w:r w:rsidR="00BF0744" w:rsidRPr="00CF062D">
        <w:rPr>
          <w:rFonts w:cs="Arial"/>
          <w:color w:val="000000"/>
          <w:szCs w:val="20"/>
        </w:rPr>
        <w:t xml:space="preserve">needles (spinal, </w:t>
      </w:r>
      <w:proofErr w:type="gramStart"/>
      <w:r w:rsidR="00BF0744" w:rsidRPr="00CF062D">
        <w:rPr>
          <w:rFonts w:cs="Arial"/>
          <w:color w:val="000000"/>
          <w:szCs w:val="20"/>
        </w:rPr>
        <w:t>epidural</w:t>
      </w:r>
      <w:proofErr w:type="gramEnd"/>
      <w:r w:rsidR="00BF0744" w:rsidRPr="00CF062D">
        <w:rPr>
          <w:rFonts w:cs="Arial"/>
          <w:color w:val="000000"/>
          <w:szCs w:val="20"/>
        </w:rPr>
        <w:t xml:space="preserve"> and </w:t>
      </w:r>
      <w:r w:rsidR="00DE424F">
        <w:rPr>
          <w:rFonts w:cs="Arial"/>
          <w:color w:val="000000"/>
          <w:szCs w:val="20"/>
        </w:rPr>
        <w:t xml:space="preserve">peripheral nerve </w:t>
      </w:r>
      <w:r w:rsidR="00BF0744" w:rsidRPr="00CF062D">
        <w:rPr>
          <w:rFonts w:cs="Arial"/>
          <w:color w:val="000000"/>
          <w:szCs w:val="20"/>
        </w:rPr>
        <w:t xml:space="preserve">block) </w:t>
      </w:r>
      <w:r>
        <w:rPr>
          <w:rFonts w:cs="Arial"/>
          <w:color w:val="000000"/>
          <w:szCs w:val="20"/>
        </w:rPr>
        <w:t>that</w:t>
      </w:r>
      <w:r w:rsidRPr="00CF062D">
        <w:rPr>
          <w:rFonts w:cs="Arial"/>
          <w:color w:val="000000"/>
          <w:szCs w:val="20"/>
        </w:rPr>
        <w:t xml:space="preserve"> </w:t>
      </w:r>
      <w:r w:rsidR="00BF0744" w:rsidRPr="00CF062D">
        <w:rPr>
          <w:rFonts w:cs="Arial"/>
          <w:color w:val="000000"/>
          <w:szCs w:val="20"/>
        </w:rPr>
        <w:t xml:space="preserve">have </w:t>
      </w:r>
      <w:r w:rsidR="00BF0744">
        <w:rPr>
          <w:rFonts w:cs="Arial"/>
          <w:color w:val="000000"/>
          <w:szCs w:val="20"/>
        </w:rPr>
        <w:t xml:space="preserve">yellow colour coded </w:t>
      </w:r>
      <w:r w:rsidR="00BF0744" w:rsidRPr="00CF062D">
        <w:rPr>
          <w:rFonts w:cs="Arial"/>
          <w:color w:val="000000"/>
          <w:szCs w:val="20"/>
        </w:rPr>
        <w:t>NRFit connections.</w:t>
      </w:r>
    </w:p>
    <w:p w14:paraId="3B67B40D" w14:textId="5E0FAF4F" w:rsidR="00BF0744" w:rsidRPr="00CF062D" w:rsidRDefault="00A4445A" w:rsidP="00DC3965">
      <w:pPr>
        <w:pStyle w:val="ListParagraph"/>
        <w:numPr>
          <w:ilvl w:val="0"/>
          <w:numId w:val="8"/>
        </w:numPr>
        <w:autoSpaceDE w:val="0"/>
        <w:autoSpaceDN w:val="0"/>
        <w:adjustRightInd w:val="0"/>
        <w:spacing w:after="0"/>
        <w:contextualSpacing/>
        <w:rPr>
          <w:rFonts w:cs="Arial"/>
          <w:color w:val="000000"/>
          <w:szCs w:val="20"/>
        </w:rPr>
      </w:pPr>
      <w:r>
        <w:rPr>
          <w:rFonts w:cs="Arial"/>
          <w:color w:val="000000"/>
          <w:szCs w:val="20"/>
        </w:rPr>
        <w:t>S</w:t>
      </w:r>
      <w:r w:rsidR="00BF0744" w:rsidRPr="00CF062D">
        <w:rPr>
          <w:rFonts w:cs="Arial"/>
          <w:color w:val="000000"/>
          <w:szCs w:val="20"/>
        </w:rPr>
        <w:t xml:space="preserve">yringes and pumps used for bolus or continuous use of local anaesthesia (LA) </w:t>
      </w:r>
      <w:r>
        <w:rPr>
          <w:rFonts w:cs="Arial"/>
          <w:color w:val="000000"/>
          <w:szCs w:val="20"/>
        </w:rPr>
        <w:t>that are</w:t>
      </w:r>
      <w:r w:rsidR="00BF0744" w:rsidRPr="00CF062D">
        <w:rPr>
          <w:rFonts w:cs="Arial"/>
          <w:color w:val="000000"/>
          <w:szCs w:val="20"/>
        </w:rPr>
        <w:t xml:space="preserve"> NRFit compatible, yellow colour coded with a visible yellow colour sticker attached close to the patient end</w:t>
      </w:r>
      <w:bookmarkStart w:id="14" w:name="_Ref160101778"/>
      <w:r w:rsidR="00B845AC">
        <w:rPr>
          <w:rStyle w:val="EndnoteReference"/>
          <w:rFonts w:cs="Arial"/>
          <w:color w:val="000000"/>
          <w:szCs w:val="20"/>
        </w:rPr>
        <w:endnoteReference w:id="32"/>
      </w:r>
      <w:bookmarkEnd w:id="14"/>
      <w:r w:rsidR="00BF0744" w:rsidRPr="00CF062D">
        <w:rPr>
          <w:rFonts w:cs="Arial"/>
          <w:color w:val="000000"/>
          <w:szCs w:val="20"/>
        </w:rPr>
        <w:t>.</w:t>
      </w:r>
    </w:p>
    <w:p w14:paraId="21F577AB" w14:textId="1AC551A1" w:rsidR="00BF0744" w:rsidRPr="00AC3F0F" w:rsidRDefault="00BF0744" w:rsidP="00DC3965">
      <w:pPr>
        <w:pStyle w:val="ListParagraph"/>
        <w:numPr>
          <w:ilvl w:val="0"/>
          <w:numId w:val="8"/>
        </w:numPr>
        <w:autoSpaceDE w:val="0"/>
        <w:autoSpaceDN w:val="0"/>
        <w:adjustRightInd w:val="0"/>
        <w:spacing w:after="0"/>
        <w:contextualSpacing/>
        <w:rPr>
          <w:rFonts w:cs="Arial"/>
          <w:color w:val="000000"/>
          <w:szCs w:val="20"/>
        </w:rPr>
      </w:pPr>
      <w:r>
        <w:rPr>
          <w:rFonts w:cs="Arial"/>
          <w:color w:val="000000"/>
          <w:szCs w:val="20"/>
        </w:rPr>
        <w:t>Sufficient</w:t>
      </w:r>
      <w:r w:rsidRPr="00CF062D">
        <w:rPr>
          <w:rFonts w:cs="Arial"/>
          <w:color w:val="000000"/>
          <w:szCs w:val="20"/>
        </w:rPr>
        <w:t xml:space="preserve"> portable </w:t>
      </w:r>
      <w:r w:rsidR="007A2731">
        <w:rPr>
          <w:rFonts w:cs="Arial"/>
          <w:color w:val="000000"/>
          <w:szCs w:val="20"/>
        </w:rPr>
        <w:t>u</w:t>
      </w:r>
      <w:r w:rsidRPr="00CF062D">
        <w:rPr>
          <w:rFonts w:cs="Arial"/>
          <w:color w:val="000000"/>
          <w:szCs w:val="20"/>
        </w:rPr>
        <w:t>ltrasound machine</w:t>
      </w:r>
      <w:r>
        <w:rPr>
          <w:rFonts w:cs="Arial"/>
          <w:color w:val="000000"/>
          <w:szCs w:val="20"/>
        </w:rPr>
        <w:t>s with l</w:t>
      </w:r>
      <w:r w:rsidRPr="00CF062D">
        <w:rPr>
          <w:rFonts w:cs="Arial"/>
          <w:color w:val="000000"/>
          <w:szCs w:val="20"/>
        </w:rPr>
        <w:t>inear and curved</w:t>
      </w:r>
      <w:r>
        <w:rPr>
          <w:rFonts w:cs="Arial"/>
          <w:color w:val="000000"/>
          <w:szCs w:val="20"/>
        </w:rPr>
        <w:t xml:space="preserve"> probes</w:t>
      </w:r>
      <w:r w:rsidRPr="00CF062D">
        <w:rPr>
          <w:rFonts w:cs="Arial"/>
          <w:color w:val="000000"/>
          <w:szCs w:val="20"/>
        </w:rPr>
        <w:t xml:space="preserve">, probe covers and nerve stimulators </w:t>
      </w:r>
      <w:r w:rsidR="00A4445A">
        <w:rPr>
          <w:rFonts w:cs="Arial"/>
          <w:color w:val="000000"/>
          <w:szCs w:val="20"/>
        </w:rPr>
        <w:t>that are</w:t>
      </w:r>
      <w:r w:rsidRPr="00CF062D">
        <w:rPr>
          <w:rFonts w:cs="Arial"/>
          <w:color w:val="000000"/>
          <w:szCs w:val="20"/>
        </w:rPr>
        <w:t xml:space="preserve"> </w:t>
      </w:r>
      <w:r w:rsidR="007A2731">
        <w:rPr>
          <w:rFonts w:cs="Arial"/>
          <w:color w:val="000000"/>
          <w:szCs w:val="20"/>
        </w:rPr>
        <w:t xml:space="preserve">readily </w:t>
      </w:r>
      <w:r w:rsidRPr="00CF062D">
        <w:rPr>
          <w:rFonts w:cs="Arial"/>
          <w:color w:val="000000"/>
          <w:szCs w:val="20"/>
        </w:rPr>
        <w:t>available</w:t>
      </w:r>
      <w:r>
        <w:rPr>
          <w:rFonts w:cs="Arial"/>
          <w:color w:val="000000"/>
          <w:szCs w:val="20"/>
        </w:rPr>
        <w:t xml:space="preserve"> to avoid any delay in waiting for machine availability</w:t>
      </w:r>
      <w:r w:rsidRPr="00AC3F0F">
        <w:rPr>
          <w:rFonts w:cs="Arial"/>
          <w:color w:val="000000"/>
          <w:szCs w:val="20"/>
        </w:rPr>
        <w:t>.</w:t>
      </w:r>
    </w:p>
    <w:p w14:paraId="60FC9D5B" w14:textId="5C5DF571" w:rsidR="00BF0744" w:rsidRPr="00CF062D" w:rsidRDefault="007A2731" w:rsidP="00DC3965">
      <w:pPr>
        <w:pStyle w:val="ListParagraph"/>
        <w:numPr>
          <w:ilvl w:val="0"/>
          <w:numId w:val="8"/>
        </w:numPr>
        <w:autoSpaceDE w:val="0"/>
        <w:autoSpaceDN w:val="0"/>
        <w:adjustRightInd w:val="0"/>
        <w:spacing w:after="0"/>
        <w:contextualSpacing/>
        <w:rPr>
          <w:rFonts w:cs="Arial"/>
          <w:color w:val="000000"/>
          <w:szCs w:val="20"/>
        </w:rPr>
      </w:pPr>
      <w:r>
        <w:rPr>
          <w:rFonts w:cs="Arial"/>
          <w:color w:val="000000"/>
          <w:szCs w:val="20"/>
        </w:rPr>
        <w:t>A s</w:t>
      </w:r>
      <w:r w:rsidR="00BF0744" w:rsidRPr="00CF062D">
        <w:rPr>
          <w:rFonts w:cs="Arial"/>
          <w:color w:val="000000"/>
          <w:szCs w:val="20"/>
        </w:rPr>
        <w:t xml:space="preserve">afe </w:t>
      </w:r>
      <w:r>
        <w:rPr>
          <w:rFonts w:cs="Arial"/>
          <w:color w:val="000000"/>
          <w:szCs w:val="20"/>
        </w:rPr>
        <w:t>supply</w:t>
      </w:r>
      <w:r w:rsidR="00BF0744" w:rsidRPr="00CF062D">
        <w:rPr>
          <w:rFonts w:cs="Arial"/>
          <w:color w:val="000000"/>
          <w:szCs w:val="20"/>
        </w:rPr>
        <w:t xml:space="preserve"> of oxygen either </w:t>
      </w:r>
      <w:r>
        <w:rPr>
          <w:rFonts w:cs="Arial"/>
          <w:color w:val="000000"/>
          <w:szCs w:val="20"/>
        </w:rPr>
        <w:t xml:space="preserve">using </w:t>
      </w:r>
      <w:r w:rsidR="00BF0744" w:rsidRPr="00CF062D">
        <w:rPr>
          <w:rFonts w:cs="Arial"/>
          <w:color w:val="000000"/>
          <w:szCs w:val="20"/>
        </w:rPr>
        <w:t>wall mounted</w:t>
      </w:r>
      <w:r>
        <w:rPr>
          <w:rFonts w:cs="Arial"/>
          <w:color w:val="000000"/>
          <w:szCs w:val="20"/>
        </w:rPr>
        <w:t xml:space="preserve"> oxygen outlets</w:t>
      </w:r>
      <w:r w:rsidR="00BF0744" w:rsidRPr="00CF062D">
        <w:rPr>
          <w:rFonts w:cs="Arial"/>
          <w:color w:val="000000"/>
          <w:szCs w:val="20"/>
        </w:rPr>
        <w:t xml:space="preserve"> or </w:t>
      </w:r>
      <w:r>
        <w:rPr>
          <w:rFonts w:cs="Arial"/>
          <w:color w:val="000000"/>
          <w:szCs w:val="20"/>
        </w:rPr>
        <w:t xml:space="preserve">provided by </w:t>
      </w:r>
      <w:r w:rsidR="00BF0744" w:rsidRPr="00CF062D">
        <w:rPr>
          <w:rFonts w:cs="Arial"/>
          <w:color w:val="000000"/>
          <w:szCs w:val="20"/>
        </w:rPr>
        <w:t xml:space="preserve">cylinders. </w:t>
      </w:r>
    </w:p>
    <w:p w14:paraId="562D9BC7" w14:textId="65DD8576" w:rsidR="00BF0744" w:rsidRPr="00CF062D" w:rsidRDefault="00BF0744" w:rsidP="00DC3965">
      <w:pPr>
        <w:pStyle w:val="ListParagraph"/>
        <w:numPr>
          <w:ilvl w:val="0"/>
          <w:numId w:val="8"/>
        </w:numPr>
        <w:autoSpaceDE w:val="0"/>
        <w:autoSpaceDN w:val="0"/>
        <w:adjustRightInd w:val="0"/>
        <w:spacing w:after="0"/>
        <w:contextualSpacing/>
        <w:rPr>
          <w:rFonts w:cs="Arial"/>
          <w:color w:val="000000"/>
          <w:szCs w:val="20"/>
        </w:rPr>
      </w:pPr>
      <w:r w:rsidRPr="00CF062D">
        <w:rPr>
          <w:rFonts w:cs="Arial"/>
          <w:color w:val="000000"/>
          <w:szCs w:val="20"/>
        </w:rPr>
        <w:t>Appropriate facemasks for oxygen delivery.</w:t>
      </w:r>
    </w:p>
    <w:p w14:paraId="2EBDF477" w14:textId="622F6C54" w:rsidR="00BF0744" w:rsidRPr="00CF062D" w:rsidRDefault="00BF0744" w:rsidP="00DC3965">
      <w:pPr>
        <w:pStyle w:val="ListParagraph"/>
        <w:numPr>
          <w:ilvl w:val="0"/>
          <w:numId w:val="8"/>
        </w:numPr>
        <w:autoSpaceDE w:val="0"/>
        <w:autoSpaceDN w:val="0"/>
        <w:adjustRightInd w:val="0"/>
        <w:spacing w:after="0"/>
        <w:contextualSpacing/>
        <w:rPr>
          <w:rFonts w:cs="Arial"/>
          <w:color w:val="000000"/>
          <w:szCs w:val="20"/>
        </w:rPr>
      </w:pPr>
      <w:r w:rsidRPr="00CF062D">
        <w:rPr>
          <w:rFonts w:cs="Arial"/>
          <w:color w:val="000000"/>
          <w:szCs w:val="20"/>
        </w:rPr>
        <w:t xml:space="preserve">All emergency equipment </w:t>
      </w:r>
      <w:r>
        <w:rPr>
          <w:rFonts w:cs="Arial"/>
          <w:color w:val="000000"/>
          <w:szCs w:val="20"/>
        </w:rPr>
        <w:t>outlined</w:t>
      </w:r>
      <w:r w:rsidRPr="00CF062D">
        <w:rPr>
          <w:rFonts w:cs="Arial"/>
          <w:color w:val="000000"/>
          <w:szCs w:val="20"/>
        </w:rPr>
        <w:t xml:space="preserve"> in </w:t>
      </w:r>
      <w:hyperlink r:id="rId14" w:history="1">
        <w:r w:rsidRPr="00C9780F">
          <w:rPr>
            <w:rStyle w:val="Hyperlink"/>
            <w:rFonts w:cs="Arial"/>
            <w:sz w:val="20"/>
            <w:szCs w:val="20"/>
          </w:rPr>
          <w:t>Guidelines for the Provision of Anaesthesia Services for the Perioperative Care of Elective and Urgent Care Patients 202</w:t>
        </w:r>
        <w:r w:rsidR="00C9780F" w:rsidRPr="00C9780F">
          <w:rPr>
            <w:rStyle w:val="Hyperlink"/>
            <w:rFonts w:cs="Arial"/>
            <w:sz w:val="20"/>
            <w:szCs w:val="20"/>
          </w:rPr>
          <w:t>4</w:t>
        </w:r>
      </w:hyperlink>
      <w:r w:rsidR="00225C12" w:rsidRPr="000C457F">
        <w:rPr>
          <w:rStyle w:val="Hyperlink"/>
          <w:rFonts w:cs="Arial"/>
          <w:sz w:val="20"/>
          <w:szCs w:val="20"/>
          <w:vertAlign w:val="superscript"/>
        </w:rPr>
        <w:fldChar w:fldCharType="begin"/>
      </w:r>
      <w:r w:rsidR="00225C12" w:rsidRPr="000C457F">
        <w:rPr>
          <w:rStyle w:val="Hyperlink"/>
          <w:rFonts w:cs="Arial"/>
          <w:sz w:val="20"/>
          <w:szCs w:val="20"/>
          <w:vertAlign w:val="superscript"/>
        </w:rPr>
        <w:instrText xml:space="preserve"> NOTEREF _Ref163037876 \h </w:instrText>
      </w:r>
      <w:r w:rsidR="00225C12">
        <w:rPr>
          <w:rStyle w:val="Hyperlink"/>
          <w:rFonts w:cs="Arial"/>
          <w:sz w:val="20"/>
          <w:szCs w:val="20"/>
          <w:vertAlign w:val="superscript"/>
        </w:rPr>
        <w:instrText xml:space="preserve"> \* MERGEFORMAT </w:instrText>
      </w:r>
      <w:r w:rsidR="00225C12" w:rsidRPr="000C457F">
        <w:rPr>
          <w:rStyle w:val="Hyperlink"/>
          <w:rFonts w:cs="Arial"/>
          <w:sz w:val="20"/>
          <w:szCs w:val="20"/>
          <w:vertAlign w:val="superscript"/>
        </w:rPr>
      </w:r>
      <w:r w:rsidR="00225C12" w:rsidRPr="000C457F">
        <w:rPr>
          <w:rStyle w:val="Hyperlink"/>
          <w:rFonts w:cs="Arial"/>
          <w:sz w:val="20"/>
          <w:szCs w:val="20"/>
          <w:vertAlign w:val="superscript"/>
        </w:rPr>
        <w:fldChar w:fldCharType="separate"/>
      </w:r>
      <w:r w:rsidR="0088690E">
        <w:rPr>
          <w:rStyle w:val="Hyperlink"/>
          <w:rFonts w:cs="Arial"/>
          <w:sz w:val="20"/>
          <w:szCs w:val="20"/>
          <w:vertAlign w:val="superscript"/>
        </w:rPr>
        <w:t>28</w:t>
      </w:r>
      <w:r w:rsidR="00225C12" w:rsidRPr="000C457F">
        <w:rPr>
          <w:rStyle w:val="Hyperlink"/>
          <w:rFonts w:cs="Arial"/>
          <w:sz w:val="20"/>
          <w:szCs w:val="20"/>
          <w:vertAlign w:val="superscript"/>
        </w:rPr>
        <w:fldChar w:fldCharType="end"/>
      </w:r>
      <w:r w:rsidRPr="00CF062D">
        <w:rPr>
          <w:rFonts w:cs="Arial"/>
          <w:szCs w:val="20"/>
          <w:u w:val="single"/>
        </w:rPr>
        <w:t>.</w:t>
      </w:r>
    </w:p>
    <w:p w14:paraId="48584489" w14:textId="1B9DDB47" w:rsidR="00BF0744" w:rsidRPr="00CF062D" w:rsidRDefault="007A2731" w:rsidP="00DC3965">
      <w:pPr>
        <w:pStyle w:val="ListParagraph"/>
        <w:numPr>
          <w:ilvl w:val="0"/>
          <w:numId w:val="8"/>
        </w:numPr>
        <w:autoSpaceDE w:val="0"/>
        <w:autoSpaceDN w:val="0"/>
        <w:adjustRightInd w:val="0"/>
        <w:spacing w:after="0"/>
        <w:contextualSpacing/>
        <w:rPr>
          <w:rFonts w:cs="Arial"/>
          <w:color w:val="000000"/>
          <w:szCs w:val="20"/>
        </w:rPr>
      </w:pPr>
      <w:r>
        <w:rPr>
          <w:rFonts w:cs="Arial"/>
          <w:szCs w:val="20"/>
        </w:rPr>
        <w:t>Cardiac d</w:t>
      </w:r>
      <w:r w:rsidR="00BF0744" w:rsidRPr="00CF062D">
        <w:rPr>
          <w:rFonts w:cs="Arial"/>
          <w:szCs w:val="20"/>
        </w:rPr>
        <w:t>efibrillator</w:t>
      </w:r>
    </w:p>
    <w:p w14:paraId="6721B405" w14:textId="6EAA0268" w:rsidR="000B1B1D" w:rsidRDefault="00976FBB" w:rsidP="00DC3965">
      <w:pPr>
        <w:pStyle w:val="ListParagraph"/>
        <w:numPr>
          <w:ilvl w:val="0"/>
          <w:numId w:val="8"/>
        </w:numPr>
        <w:autoSpaceDE w:val="0"/>
        <w:autoSpaceDN w:val="0"/>
        <w:adjustRightInd w:val="0"/>
        <w:spacing w:after="0"/>
        <w:contextualSpacing/>
        <w:rPr>
          <w:rFonts w:cs="Arial"/>
          <w:color w:val="000000"/>
          <w:szCs w:val="20"/>
        </w:rPr>
      </w:pPr>
      <w:r>
        <w:rPr>
          <w:rFonts w:cs="Arial"/>
          <w:color w:val="000000"/>
          <w:szCs w:val="20"/>
        </w:rPr>
        <w:t xml:space="preserve">When performing neuraxial anaesthesia, or where there is any possibility of a regional anaesthetic technique needing to be converted to general anaesthesia, all appropriate equipment for safe induction, maintenance and monitoring of general anaesthesia must be available as outlined in section 7 of </w:t>
      </w:r>
      <w:hyperlink r:id="rId15" w:history="1">
        <w:r w:rsidRPr="00C9780F">
          <w:rPr>
            <w:rStyle w:val="Hyperlink"/>
            <w:rFonts w:cs="Arial"/>
            <w:sz w:val="20"/>
            <w:szCs w:val="20"/>
          </w:rPr>
          <w:t>Guidelines for the Provision of Anaesthesia Services for the Perioperative Care of Elective and Urgent Care Patients 2024</w:t>
        </w:r>
      </w:hyperlink>
      <w:r w:rsidR="000C457F" w:rsidRPr="000C457F">
        <w:rPr>
          <w:rStyle w:val="Hyperlink"/>
          <w:rFonts w:cs="Arial"/>
          <w:sz w:val="20"/>
          <w:szCs w:val="20"/>
          <w:vertAlign w:val="superscript"/>
        </w:rPr>
        <w:fldChar w:fldCharType="begin"/>
      </w:r>
      <w:r w:rsidR="000C457F" w:rsidRPr="000C457F">
        <w:rPr>
          <w:rStyle w:val="Hyperlink"/>
          <w:rFonts w:cs="Arial"/>
          <w:sz w:val="20"/>
          <w:szCs w:val="20"/>
          <w:vertAlign w:val="superscript"/>
        </w:rPr>
        <w:instrText xml:space="preserve"> NOTEREF _Ref163037876 \h </w:instrText>
      </w:r>
      <w:r w:rsidR="000C457F">
        <w:rPr>
          <w:rStyle w:val="Hyperlink"/>
          <w:rFonts w:cs="Arial"/>
          <w:sz w:val="20"/>
          <w:szCs w:val="20"/>
          <w:vertAlign w:val="superscript"/>
        </w:rPr>
        <w:instrText xml:space="preserve"> \* MERGEFORMAT </w:instrText>
      </w:r>
      <w:r w:rsidR="000C457F" w:rsidRPr="000C457F">
        <w:rPr>
          <w:rStyle w:val="Hyperlink"/>
          <w:rFonts w:cs="Arial"/>
          <w:sz w:val="20"/>
          <w:szCs w:val="20"/>
          <w:vertAlign w:val="superscript"/>
        </w:rPr>
      </w:r>
      <w:r w:rsidR="000C457F" w:rsidRPr="000C457F">
        <w:rPr>
          <w:rStyle w:val="Hyperlink"/>
          <w:rFonts w:cs="Arial"/>
          <w:sz w:val="20"/>
          <w:szCs w:val="20"/>
          <w:vertAlign w:val="superscript"/>
        </w:rPr>
        <w:fldChar w:fldCharType="separate"/>
      </w:r>
      <w:r w:rsidR="0088690E">
        <w:rPr>
          <w:rStyle w:val="Hyperlink"/>
          <w:rFonts w:cs="Arial"/>
          <w:sz w:val="20"/>
          <w:szCs w:val="20"/>
          <w:vertAlign w:val="superscript"/>
        </w:rPr>
        <w:t>28</w:t>
      </w:r>
      <w:r w:rsidR="000C457F" w:rsidRPr="000C457F">
        <w:rPr>
          <w:rStyle w:val="Hyperlink"/>
          <w:rFonts w:cs="Arial"/>
          <w:sz w:val="20"/>
          <w:szCs w:val="20"/>
          <w:vertAlign w:val="superscript"/>
        </w:rPr>
        <w:fldChar w:fldCharType="end"/>
      </w:r>
      <w:r w:rsidR="000C457F">
        <w:rPr>
          <w:lang w:eastAsia="ja-JP"/>
        </w:rPr>
        <w:t>.</w:t>
      </w:r>
    </w:p>
    <w:p w14:paraId="20318DA3" w14:textId="77777777" w:rsidR="000B1B1D" w:rsidRDefault="000B1B1D" w:rsidP="000B1B1D">
      <w:pPr>
        <w:pStyle w:val="ListParagraph"/>
        <w:autoSpaceDE w:val="0"/>
        <w:autoSpaceDN w:val="0"/>
        <w:adjustRightInd w:val="0"/>
        <w:spacing w:after="0"/>
        <w:contextualSpacing/>
        <w:rPr>
          <w:rFonts w:cs="Arial"/>
          <w:color w:val="000000"/>
          <w:szCs w:val="20"/>
        </w:rPr>
      </w:pPr>
    </w:p>
    <w:p w14:paraId="5EE0C4DC" w14:textId="17354D78" w:rsidR="00223CD2" w:rsidRDefault="00223CD2" w:rsidP="00223CD2">
      <w:pPr>
        <w:pStyle w:val="recommendation"/>
        <w:rPr>
          <w:lang w:eastAsia="ja-JP"/>
        </w:rPr>
      </w:pPr>
      <w:r w:rsidRPr="00223CD2">
        <w:rPr>
          <w:lang w:eastAsia="ja-JP"/>
        </w:rPr>
        <w:t xml:space="preserve">There should be facilities for hand washing and to ensure asepsis; sterile gowns and gloves, caps, </w:t>
      </w:r>
      <w:proofErr w:type="gramStart"/>
      <w:r w:rsidRPr="00223CD2">
        <w:rPr>
          <w:lang w:eastAsia="ja-JP"/>
        </w:rPr>
        <w:t>masks</w:t>
      </w:r>
      <w:proofErr w:type="gramEnd"/>
      <w:r w:rsidRPr="00223CD2">
        <w:rPr>
          <w:lang w:eastAsia="ja-JP"/>
        </w:rPr>
        <w:t xml:space="preserve"> and chlorhexidine sprays should also be available</w:t>
      </w:r>
      <w:r w:rsidR="0057408A" w:rsidRPr="000C457F">
        <w:rPr>
          <w:vertAlign w:val="superscript"/>
          <w:lang w:eastAsia="ja-JP"/>
        </w:rPr>
        <w:fldChar w:fldCharType="begin"/>
      </w:r>
      <w:r w:rsidR="0057408A" w:rsidRPr="000C457F">
        <w:rPr>
          <w:vertAlign w:val="superscript"/>
          <w:lang w:eastAsia="ja-JP"/>
        </w:rPr>
        <w:instrText xml:space="preserve"> NOTEREF _Ref163037876 \h </w:instrText>
      </w:r>
      <w:r w:rsidR="0057408A">
        <w:rPr>
          <w:vertAlign w:val="superscript"/>
          <w:lang w:eastAsia="ja-JP"/>
        </w:rPr>
        <w:instrText xml:space="preserve"> \* MERGEFORMAT </w:instrText>
      </w:r>
      <w:r w:rsidR="0057408A" w:rsidRPr="000C457F">
        <w:rPr>
          <w:vertAlign w:val="superscript"/>
          <w:lang w:eastAsia="ja-JP"/>
        </w:rPr>
      </w:r>
      <w:r w:rsidR="0057408A" w:rsidRPr="000C457F">
        <w:rPr>
          <w:vertAlign w:val="superscript"/>
          <w:lang w:eastAsia="ja-JP"/>
        </w:rPr>
        <w:fldChar w:fldCharType="separate"/>
      </w:r>
      <w:r w:rsidR="0088690E">
        <w:rPr>
          <w:vertAlign w:val="superscript"/>
          <w:lang w:eastAsia="ja-JP"/>
        </w:rPr>
        <w:t>28</w:t>
      </w:r>
      <w:r w:rsidR="0057408A" w:rsidRPr="000C457F">
        <w:rPr>
          <w:vertAlign w:val="superscript"/>
          <w:lang w:eastAsia="ja-JP"/>
        </w:rPr>
        <w:fldChar w:fldCharType="end"/>
      </w:r>
      <w:r w:rsidRPr="00223CD2">
        <w:rPr>
          <w:lang w:eastAsia="ja-JP"/>
        </w:rPr>
        <w:t>.</w:t>
      </w:r>
    </w:p>
    <w:p w14:paraId="5A92CC07" w14:textId="5EB00600" w:rsidR="000B1B1D" w:rsidRPr="000B1B1D" w:rsidRDefault="003F7C5D" w:rsidP="003F7C5D">
      <w:pPr>
        <w:pStyle w:val="recommendation"/>
        <w:rPr>
          <w:lang w:eastAsia="ja-JP"/>
        </w:rPr>
      </w:pPr>
      <w:r w:rsidRPr="003F7C5D">
        <w:rPr>
          <w:lang w:eastAsia="ja-JP"/>
        </w:rPr>
        <w:t>The standard of monitoring equipment while performing regional anaesthesia should comply with Association of Anaesthetists standards of monitoring</w:t>
      </w:r>
      <w:r w:rsidR="00C0474E">
        <w:rPr>
          <w:rStyle w:val="EndnoteReference"/>
          <w:lang w:eastAsia="ja-JP"/>
        </w:rPr>
        <w:endnoteReference w:id="33"/>
      </w:r>
      <w:r w:rsidR="00CE2D0D">
        <w:rPr>
          <w:lang w:eastAsia="ja-JP"/>
        </w:rPr>
        <w:t>.</w:t>
      </w:r>
    </w:p>
    <w:p w14:paraId="25585AD1" w14:textId="0B908D4E" w:rsidR="000B1B1D" w:rsidRDefault="00CE2D0D" w:rsidP="000B1B1D">
      <w:pPr>
        <w:pStyle w:val="recommendation"/>
        <w:rPr>
          <w:lang w:eastAsia="ja-JP"/>
        </w:rPr>
      </w:pPr>
      <w:r w:rsidRPr="00CE2D0D">
        <w:rPr>
          <w:lang w:eastAsia="ja-JP"/>
        </w:rPr>
        <w:t>Other appropriate monitoring equipment should be available when sedation or general anaesthesia is administered along with regional anaesthesia as outlined in</w:t>
      </w:r>
      <w:r>
        <w:rPr>
          <w:lang w:eastAsia="ja-JP"/>
        </w:rPr>
        <w:t xml:space="preserve"> </w:t>
      </w:r>
      <w:hyperlink r:id="rId16" w:history="1">
        <w:r w:rsidRPr="00C9780F">
          <w:rPr>
            <w:rStyle w:val="Hyperlink"/>
            <w:rFonts w:cs="Arial"/>
            <w:sz w:val="20"/>
            <w:szCs w:val="20"/>
          </w:rPr>
          <w:t>Guidelines for the Provision of Anaesthesia Services for the Perioperative Care of Elective and Urgent Care Patients 2024</w:t>
        </w:r>
      </w:hyperlink>
      <w:r w:rsidR="000B1B1D">
        <w:rPr>
          <w:lang w:eastAsia="ja-JP"/>
        </w:rPr>
        <w:t>.</w:t>
      </w:r>
    </w:p>
    <w:p w14:paraId="3790B73B" w14:textId="3B2561B4" w:rsidR="007408C5" w:rsidRDefault="007408C5" w:rsidP="000B1B1D">
      <w:pPr>
        <w:pStyle w:val="recommendation"/>
        <w:rPr>
          <w:lang w:eastAsia="ja-JP"/>
        </w:rPr>
      </w:pPr>
      <w:r w:rsidRPr="007408C5">
        <w:rPr>
          <w:lang w:eastAsia="ja-JP"/>
        </w:rPr>
        <w:t>All regional anaesthesia equipment (nerve stimulators, ultrasound machine</w:t>
      </w:r>
      <w:r>
        <w:rPr>
          <w:lang w:eastAsia="ja-JP"/>
        </w:rPr>
        <w:t xml:space="preserve"> </w:t>
      </w:r>
      <w:r w:rsidRPr="007408C5">
        <w:rPr>
          <w:lang w:eastAsia="ja-JP"/>
        </w:rPr>
        <w:t xml:space="preserve">and infusion pumps) should have user manuals and </w:t>
      </w:r>
      <w:r>
        <w:rPr>
          <w:lang w:eastAsia="ja-JP"/>
        </w:rPr>
        <w:t xml:space="preserve">be </w:t>
      </w:r>
      <w:r w:rsidRPr="007408C5">
        <w:rPr>
          <w:lang w:eastAsia="ja-JP"/>
        </w:rPr>
        <w:t>checked prior to use in accordance with the Association of Anaesthetists’ published guidelines along with regular maintenance and replacement programmes</w:t>
      </w:r>
      <w:r w:rsidR="00C90EAC">
        <w:rPr>
          <w:rStyle w:val="EndnoteReference"/>
          <w:lang w:eastAsia="ja-JP"/>
        </w:rPr>
        <w:endnoteReference w:id="34"/>
      </w:r>
      <w:r>
        <w:rPr>
          <w:lang w:eastAsia="ja-JP"/>
        </w:rPr>
        <w:t>.</w:t>
      </w:r>
      <w:r w:rsidR="00C0474E">
        <w:rPr>
          <w:lang w:eastAsia="ja-JP"/>
        </w:rPr>
        <w:t xml:space="preserve"> A</w:t>
      </w:r>
      <w:r w:rsidR="00C0474E" w:rsidRPr="007408C5">
        <w:rPr>
          <w:lang w:eastAsia="ja-JP"/>
        </w:rPr>
        <w:t xml:space="preserve"> </w:t>
      </w:r>
      <w:r w:rsidR="00C0474E">
        <w:rPr>
          <w:lang w:eastAsia="ja-JP"/>
        </w:rPr>
        <w:t>planned</w:t>
      </w:r>
      <w:r w:rsidR="00C0474E" w:rsidRPr="007408C5">
        <w:rPr>
          <w:lang w:eastAsia="ja-JP"/>
        </w:rPr>
        <w:t xml:space="preserve"> maintenance and replacement programm</w:t>
      </w:r>
      <w:r w:rsidR="00C0474E">
        <w:rPr>
          <w:lang w:eastAsia="ja-JP"/>
        </w:rPr>
        <w:t>e should be in place.</w:t>
      </w:r>
    </w:p>
    <w:p w14:paraId="7832B217" w14:textId="7FEC25E3" w:rsidR="000B1B1D" w:rsidRDefault="00295E48" w:rsidP="000B1B1D">
      <w:pPr>
        <w:pStyle w:val="recommendation"/>
        <w:rPr>
          <w:lang w:eastAsia="ja-JP"/>
        </w:rPr>
      </w:pPr>
      <w:r w:rsidRPr="00295E48">
        <w:rPr>
          <w:lang w:eastAsia="ja-JP"/>
        </w:rPr>
        <w:t xml:space="preserve">All </w:t>
      </w:r>
      <w:r>
        <w:rPr>
          <w:lang w:eastAsia="ja-JP"/>
        </w:rPr>
        <w:t>a</w:t>
      </w:r>
      <w:r w:rsidRPr="00295E48">
        <w:rPr>
          <w:lang w:eastAsia="ja-JP"/>
        </w:rPr>
        <w:t xml:space="preserve">naesthetists and anaesthetic assistants as well as ODPs (Operating Department </w:t>
      </w:r>
      <w:r w:rsidR="000F25DB" w:rsidRPr="00295E48">
        <w:rPr>
          <w:lang w:eastAsia="ja-JP"/>
        </w:rPr>
        <w:t>Practitioners</w:t>
      </w:r>
      <w:r w:rsidRPr="00295E48">
        <w:rPr>
          <w:lang w:eastAsia="ja-JP"/>
        </w:rPr>
        <w:t>) should receive systematic training in the use of new regional anaesthesia equipment</w:t>
      </w:r>
      <w:r w:rsidR="00C0474E">
        <w:rPr>
          <w:lang w:eastAsia="ja-JP"/>
        </w:rPr>
        <w:t>. Provision and receipt of training</w:t>
      </w:r>
      <w:r w:rsidRPr="00295E48">
        <w:rPr>
          <w:lang w:eastAsia="ja-JP"/>
        </w:rPr>
        <w:t xml:space="preserve"> should be clearly documented. Staff should not use regional anaesthesia equipment unless appropriately trained. There should be a </w:t>
      </w:r>
      <w:r>
        <w:rPr>
          <w:lang w:eastAsia="ja-JP"/>
        </w:rPr>
        <w:t>suitable</w:t>
      </w:r>
      <w:r w:rsidRPr="00295E48">
        <w:rPr>
          <w:lang w:eastAsia="ja-JP"/>
        </w:rPr>
        <w:t xml:space="preserve"> induction policy for new staff and when new equipment is introduced, with a record of training kept within the department</w:t>
      </w:r>
      <w:r>
        <w:rPr>
          <w:rStyle w:val="EndnoteReference"/>
          <w:lang w:eastAsia="ja-JP"/>
        </w:rPr>
        <w:endnoteReference w:id="35"/>
      </w:r>
      <w:r>
        <w:rPr>
          <w:lang w:eastAsia="ja-JP"/>
        </w:rPr>
        <w:t>.</w:t>
      </w:r>
    </w:p>
    <w:p w14:paraId="29632B59" w14:textId="64F474F8" w:rsidR="00857ADE" w:rsidRDefault="00323998" w:rsidP="00857ADE">
      <w:pPr>
        <w:pStyle w:val="Heading4"/>
        <w:numPr>
          <w:ilvl w:val="0"/>
          <w:numId w:val="0"/>
        </w:numPr>
        <w:rPr>
          <w:color w:val="291F51" w:themeColor="accent1"/>
          <w:sz w:val="22"/>
          <w:lang w:eastAsia="ja-JP"/>
        </w:rPr>
      </w:pPr>
      <w:r>
        <w:rPr>
          <w:color w:val="291F51" w:themeColor="accent1"/>
          <w:sz w:val="22"/>
          <w:lang w:eastAsia="ja-JP"/>
        </w:rPr>
        <w:t>Support s</w:t>
      </w:r>
      <w:r w:rsidR="00857ADE">
        <w:rPr>
          <w:color w:val="291F51" w:themeColor="accent1"/>
          <w:sz w:val="22"/>
          <w:lang w:eastAsia="ja-JP"/>
        </w:rPr>
        <w:t>ervices</w:t>
      </w:r>
    </w:p>
    <w:p w14:paraId="24D97CBC" w14:textId="58379C62" w:rsidR="00951258" w:rsidRPr="00A75039" w:rsidRDefault="000D3BA8" w:rsidP="00857ADE">
      <w:pPr>
        <w:pStyle w:val="recommendation"/>
        <w:rPr>
          <w:lang w:eastAsia="ja-JP"/>
        </w:rPr>
      </w:pPr>
      <w:r w:rsidRPr="000D3BA8">
        <w:rPr>
          <w:lang w:eastAsia="ja-JP"/>
        </w:rPr>
        <w:t>Pharmacy services should be available for advice and dispensing of take</w:t>
      </w:r>
      <w:r w:rsidR="0056752B">
        <w:rPr>
          <w:lang w:eastAsia="ja-JP"/>
        </w:rPr>
        <w:t>-</w:t>
      </w:r>
      <w:r w:rsidRPr="000D3BA8">
        <w:rPr>
          <w:lang w:eastAsia="ja-JP"/>
        </w:rPr>
        <w:t>home medication for patients scheduled for day-case regional anaesthesia.</w:t>
      </w:r>
    </w:p>
    <w:p w14:paraId="1CFFEE73" w14:textId="77777777" w:rsidR="00857ADE" w:rsidRDefault="00857ADE" w:rsidP="00857ADE">
      <w:pPr>
        <w:pStyle w:val="Heading4"/>
        <w:numPr>
          <w:ilvl w:val="0"/>
          <w:numId w:val="0"/>
        </w:numPr>
        <w:rPr>
          <w:color w:val="291F51" w:themeColor="accent1"/>
          <w:sz w:val="22"/>
          <w:lang w:eastAsia="ja-JP"/>
        </w:rPr>
      </w:pPr>
      <w:r w:rsidRPr="009143FF">
        <w:rPr>
          <w:color w:val="291F51" w:themeColor="accent1"/>
          <w:sz w:val="22"/>
          <w:lang w:eastAsia="ja-JP"/>
        </w:rPr>
        <w:lastRenderedPageBreak/>
        <w:t>Facilities</w:t>
      </w:r>
    </w:p>
    <w:p w14:paraId="08961F60" w14:textId="77777777" w:rsidR="00453084" w:rsidRDefault="00453084" w:rsidP="00453084">
      <w:pPr>
        <w:pStyle w:val="recommendation"/>
        <w:rPr>
          <w:lang w:eastAsia="ja-JP"/>
        </w:rPr>
      </w:pPr>
      <w:r w:rsidRPr="007438D2">
        <w:rPr>
          <w:lang w:eastAsia="ja-JP"/>
        </w:rPr>
        <w:t xml:space="preserve">There should be </w:t>
      </w:r>
      <w:r>
        <w:rPr>
          <w:lang w:eastAsia="ja-JP"/>
        </w:rPr>
        <w:t xml:space="preserve">an </w:t>
      </w:r>
      <w:r w:rsidRPr="007438D2">
        <w:rPr>
          <w:lang w:eastAsia="ja-JP"/>
        </w:rPr>
        <w:t xml:space="preserve">adequate supply of all commonly used local anaesthetic </w:t>
      </w:r>
      <w:r>
        <w:rPr>
          <w:lang w:eastAsia="ja-JP"/>
        </w:rPr>
        <w:t>(LA) agents</w:t>
      </w:r>
      <w:r w:rsidRPr="007438D2">
        <w:rPr>
          <w:lang w:eastAsia="ja-JP"/>
        </w:rPr>
        <w:t xml:space="preserve"> in different concentrations </w:t>
      </w:r>
      <w:r>
        <w:rPr>
          <w:lang w:eastAsia="ja-JP"/>
        </w:rPr>
        <w:t xml:space="preserve">and formulations </w:t>
      </w:r>
      <w:r w:rsidRPr="007438D2">
        <w:rPr>
          <w:lang w:eastAsia="ja-JP"/>
        </w:rPr>
        <w:t>in all clinical areas where regional anaesthesia is performed.</w:t>
      </w:r>
    </w:p>
    <w:p w14:paraId="19BCE072" w14:textId="37F37690" w:rsidR="007438D2" w:rsidRDefault="00453084" w:rsidP="00A568B8">
      <w:pPr>
        <w:pStyle w:val="recommendation"/>
        <w:rPr>
          <w:lang w:eastAsia="ja-JP"/>
        </w:rPr>
      </w:pPr>
      <w:bookmarkStart w:id="15" w:name="_Ref160112420"/>
      <w:r>
        <w:rPr>
          <w:lang w:eastAsia="ja-JP"/>
        </w:rPr>
        <w:t>There should be facilities</w:t>
      </w:r>
      <w:r w:rsidRPr="007438D2">
        <w:rPr>
          <w:lang w:eastAsia="ja-JP"/>
        </w:rPr>
        <w:t xml:space="preserve"> for keeping all LA </w:t>
      </w:r>
      <w:r>
        <w:rPr>
          <w:lang w:eastAsia="ja-JP"/>
        </w:rPr>
        <w:t>agents</w:t>
      </w:r>
      <w:r w:rsidRPr="007438D2">
        <w:rPr>
          <w:lang w:eastAsia="ja-JP"/>
        </w:rPr>
        <w:t xml:space="preserve"> in a separate storage unit or cupboard from intravenous infusion solutions, to reduce the risk of accidental intravenous administration of such medication</w:t>
      </w:r>
      <w:r w:rsidR="00EF5C4A" w:rsidRPr="00EF5C4A">
        <w:rPr>
          <w:rStyle w:val="EndnoteReference"/>
          <w:lang w:eastAsia="ja-JP"/>
        </w:rPr>
        <w:endnoteReference w:id="36"/>
      </w:r>
      <w:bookmarkEnd w:id="15"/>
      <w:r w:rsidR="00EF5C4A" w:rsidRPr="00EF5C4A">
        <w:rPr>
          <w:vertAlign w:val="superscript"/>
          <w:lang w:eastAsia="ja-JP"/>
        </w:rPr>
        <w:t>,</w:t>
      </w:r>
      <w:bookmarkStart w:id="16" w:name="_Ref160112422"/>
      <w:r w:rsidR="00EF5C4A" w:rsidRPr="00EF5C4A">
        <w:rPr>
          <w:rStyle w:val="EndnoteReference"/>
          <w:lang w:eastAsia="ja-JP"/>
        </w:rPr>
        <w:endnoteReference w:id="37"/>
      </w:r>
      <w:bookmarkEnd w:id="16"/>
      <w:r w:rsidR="00EF5C4A" w:rsidRPr="00EF5C4A">
        <w:rPr>
          <w:vertAlign w:val="superscript"/>
          <w:lang w:eastAsia="ja-JP"/>
        </w:rPr>
        <w:t>,</w:t>
      </w:r>
      <w:bookmarkStart w:id="17" w:name="_Ref160112423"/>
      <w:r w:rsidR="00EF5C4A" w:rsidRPr="00EF5C4A">
        <w:rPr>
          <w:rStyle w:val="EndnoteReference"/>
          <w:lang w:eastAsia="ja-JP"/>
        </w:rPr>
        <w:endnoteReference w:id="38"/>
      </w:r>
      <w:bookmarkEnd w:id="17"/>
      <w:r w:rsidRPr="007438D2">
        <w:rPr>
          <w:lang w:eastAsia="ja-JP"/>
        </w:rPr>
        <w:t>.</w:t>
      </w:r>
    </w:p>
    <w:p w14:paraId="3802E8BB" w14:textId="2901386A" w:rsidR="007438D2" w:rsidRDefault="00453084" w:rsidP="00A568B8">
      <w:pPr>
        <w:pStyle w:val="recommendation"/>
        <w:rPr>
          <w:lang w:eastAsia="ja-JP"/>
        </w:rPr>
      </w:pPr>
      <w:r>
        <w:rPr>
          <w:lang w:eastAsia="ja-JP"/>
        </w:rPr>
        <w:t>S</w:t>
      </w:r>
      <w:r w:rsidRPr="007438D2">
        <w:rPr>
          <w:lang w:eastAsia="ja-JP"/>
        </w:rPr>
        <w:t>torage unit</w:t>
      </w:r>
      <w:r>
        <w:rPr>
          <w:lang w:eastAsia="ja-JP"/>
        </w:rPr>
        <w:t>s</w:t>
      </w:r>
      <w:r w:rsidRPr="007438D2">
        <w:rPr>
          <w:lang w:eastAsia="ja-JP"/>
        </w:rPr>
        <w:t xml:space="preserve"> should be located and designed for timely access </w:t>
      </w:r>
      <w:r>
        <w:rPr>
          <w:lang w:eastAsia="ja-JP"/>
        </w:rPr>
        <w:t>to</w:t>
      </w:r>
      <w:r w:rsidRPr="007438D2">
        <w:rPr>
          <w:lang w:eastAsia="ja-JP"/>
        </w:rPr>
        <w:t xml:space="preserve"> LA </w:t>
      </w:r>
      <w:r>
        <w:rPr>
          <w:lang w:eastAsia="ja-JP"/>
        </w:rPr>
        <w:t>agents</w:t>
      </w:r>
      <w:r w:rsidRPr="007438D2">
        <w:rPr>
          <w:lang w:eastAsia="ja-JP"/>
        </w:rPr>
        <w:t xml:space="preserve"> when required, while</w:t>
      </w:r>
      <w:r>
        <w:rPr>
          <w:lang w:eastAsia="ja-JP"/>
        </w:rPr>
        <w:t xml:space="preserve"> also</w:t>
      </w:r>
      <w:r w:rsidRPr="007438D2">
        <w:rPr>
          <w:lang w:eastAsia="ja-JP"/>
        </w:rPr>
        <w:t xml:space="preserve"> maintaining </w:t>
      </w:r>
      <w:r>
        <w:rPr>
          <w:lang w:eastAsia="ja-JP"/>
        </w:rPr>
        <w:t xml:space="preserve">the </w:t>
      </w:r>
      <w:r w:rsidRPr="007438D2">
        <w:rPr>
          <w:lang w:eastAsia="ja-JP"/>
        </w:rPr>
        <w:t xml:space="preserve">integrity of the medicines and aiding organisations </w:t>
      </w:r>
      <w:r>
        <w:rPr>
          <w:lang w:eastAsia="ja-JP"/>
        </w:rPr>
        <w:t xml:space="preserve">in compliance </w:t>
      </w:r>
      <w:r w:rsidRPr="007438D2">
        <w:rPr>
          <w:lang w:eastAsia="ja-JP"/>
        </w:rPr>
        <w:t>with safe and secure storage requirements</w:t>
      </w:r>
      <w:r w:rsidR="007438D2">
        <w:rPr>
          <w:lang w:eastAsia="ja-JP"/>
        </w:rPr>
        <w:t>.</w:t>
      </w:r>
      <w:r w:rsidR="00EF5C4A" w:rsidRPr="00EF5C4A">
        <w:rPr>
          <w:vertAlign w:val="superscript"/>
          <w:lang w:eastAsia="ja-JP"/>
        </w:rPr>
        <w:fldChar w:fldCharType="begin"/>
      </w:r>
      <w:r w:rsidR="00EF5C4A" w:rsidRPr="00EF5C4A">
        <w:rPr>
          <w:vertAlign w:val="superscript"/>
          <w:lang w:eastAsia="ja-JP"/>
        </w:rPr>
        <w:instrText xml:space="preserve"> NOTEREF _Ref160112420 \h </w:instrText>
      </w:r>
      <w:r w:rsidR="00EF5C4A">
        <w:rPr>
          <w:vertAlign w:val="superscript"/>
          <w:lang w:eastAsia="ja-JP"/>
        </w:rPr>
        <w:instrText xml:space="preserve"> \* MERGEFORMAT </w:instrText>
      </w:r>
      <w:r w:rsidR="00EF5C4A" w:rsidRPr="00EF5C4A">
        <w:rPr>
          <w:vertAlign w:val="superscript"/>
          <w:lang w:eastAsia="ja-JP"/>
        </w:rPr>
      </w:r>
      <w:r w:rsidR="00EF5C4A" w:rsidRPr="00EF5C4A">
        <w:rPr>
          <w:vertAlign w:val="superscript"/>
          <w:lang w:eastAsia="ja-JP"/>
        </w:rPr>
        <w:fldChar w:fldCharType="separate"/>
      </w:r>
      <w:r w:rsidR="0088690E">
        <w:rPr>
          <w:vertAlign w:val="superscript"/>
          <w:lang w:eastAsia="ja-JP"/>
        </w:rPr>
        <w:t>36</w:t>
      </w:r>
      <w:r w:rsidR="00EF5C4A" w:rsidRPr="00EF5C4A">
        <w:rPr>
          <w:vertAlign w:val="superscript"/>
          <w:lang w:eastAsia="ja-JP"/>
        </w:rPr>
        <w:fldChar w:fldCharType="end"/>
      </w:r>
      <w:r w:rsidR="00EF5C4A" w:rsidRPr="00EF5C4A">
        <w:rPr>
          <w:vertAlign w:val="superscript"/>
          <w:lang w:eastAsia="ja-JP"/>
        </w:rPr>
        <w:t>,</w:t>
      </w:r>
      <w:r w:rsidR="00EF5C4A" w:rsidRPr="00EF5C4A">
        <w:rPr>
          <w:vertAlign w:val="superscript"/>
          <w:lang w:eastAsia="ja-JP"/>
        </w:rPr>
        <w:fldChar w:fldCharType="begin"/>
      </w:r>
      <w:r w:rsidR="00EF5C4A" w:rsidRPr="00EF5C4A">
        <w:rPr>
          <w:vertAlign w:val="superscript"/>
          <w:lang w:eastAsia="ja-JP"/>
        </w:rPr>
        <w:instrText xml:space="preserve"> NOTEREF _Ref160112422 \h </w:instrText>
      </w:r>
      <w:r w:rsidR="00EF5C4A">
        <w:rPr>
          <w:vertAlign w:val="superscript"/>
          <w:lang w:eastAsia="ja-JP"/>
        </w:rPr>
        <w:instrText xml:space="preserve"> \* MERGEFORMAT </w:instrText>
      </w:r>
      <w:r w:rsidR="00EF5C4A" w:rsidRPr="00EF5C4A">
        <w:rPr>
          <w:vertAlign w:val="superscript"/>
          <w:lang w:eastAsia="ja-JP"/>
        </w:rPr>
      </w:r>
      <w:r w:rsidR="00EF5C4A" w:rsidRPr="00EF5C4A">
        <w:rPr>
          <w:vertAlign w:val="superscript"/>
          <w:lang w:eastAsia="ja-JP"/>
        </w:rPr>
        <w:fldChar w:fldCharType="separate"/>
      </w:r>
      <w:r w:rsidR="0088690E">
        <w:rPr>
          <w:vertAlign w:val="superscript"/>
          <w:lang w:eastAsia="ja-JP"/>
        </w:rPr>
        <w:t>37</w:t>
      </w:r>
      <w:r w:rsidR="00EF5C4A" w:rsidRPr="00EF5C4A">
        <w:rPr>
          <w:vertAlign w:val="superscript"/>
          <w:lang w:eastAsia="ja-JP"/>
        </w:rPr>
        <w:fldChar w:fldCharType="end"/>
      </w:r>
      <w:r w:rsidR="00EF5C4A" w:rsidRPr="00EF5C4A">
        <w:rPr>
          <w:vertAlign w:val="superscript"/>
          <w:lang w:eastAsia="ja-JP"/>
        </w:rPr>
        <w:t>,</w:t>
      </w:r>
      <w:r w:rsidR="00EF5C4A" w:rsidRPr="00EF5C4A">
        <w:rPr>
          <w:vertAlign w:val="superscript"/>
          <w:lang w:eastAsia="ja-JP"/>
        </w:rPr>
        <w:fldChar w:fldCharType="begin"/>
      </w:r>
      <w:r w:rsidR="00EF5C4A" w:rsidRPr="00EF5C4A">
        <w:rPr>
          <w:vertAlign w:val="superscript"/>
          <w:lang w:eastAsia="ja-JP"/>
        </w:rPr>
        <w:instrText xml:space="preserve"> NOTEREF _Ref160112423 \h </w:instrText>
      </w:r>
      <w:r w:rsidR="00EF5C4A">
        <w:rPr>
          <w:vertAlign w:val="superscript"/>
          <w:lang w:eastAsia="ja-JP"/>
        </w:rPr>
        <w:instrText xml:space="preserve"> \* MERGEFORMAT </w:instrText>
      </w:r>
      <w:r w:rsidR="00EF5C4A" w:rsidRPr="00EF5C4A">
        <w:rPr>
          <w:vertAlign w:val="superscript"/>
          <w:lang w:eastAsia="ja-JP"/>
        </w:rPr>
      </w:r>
      <w:r w:rsidR="00EF5C4A" w:rsidRPr="00EF5C4A">
        <w:rPr>
          <w:vertAlign w:val="superscript"/>
          <w:lang w:eastAsia="ja-JP"/>
        </w:rPr>
        <w:fldChar w:fldCharType="separate"/>
      </w:r>
      <w:r w:rsidR="0088690E">
        <w:rPr>
          <w:vertAlign w:val="superscript"/>
          <w:lang w:eastAsia="ja-JP"/>
        </w:rPr>
        <w:t>38</w:t>
      </w:r>
      <w:r w:rsidR="00EF5C4A" w:rsidRPr="00EF5C4A">
        <w:rPr>
          <w:vertAlign w:val="superscript"/>
          <w:lang w:eastAsia="ja-JP"/>
        </w:rPr>
        <w:fldChar w:fldCharType="end"/>
      </w:r>
      <w:r w:rsidRPr="007438D2">
        <w:rPr>
          <w:lang w:eastAsia="ja-JP"/>
        </w:rPr>
        <w:t>.</w:t>
      </w:r>
    </w:p>
    <w:p w14:paraId="5835B3F6" w14:textId="0C0AE2D0" w:rsidR="007438D2" w:rsidRDefault="00453084" w:rsidP="00A568B8">
      <w:pPr>
        <w:pStyle w:val="recommendation"/>
        <w:rPr>
          <w:lang w:eastAsia="ja-JP"/>
        </w:rPr>
      </w:pPr>
      <w:r w:rsidRPr="007438D2">
        <w:rPr>
          <w:lang w:eastAsia="ja-JP"/>
        </w:rPr>
        <w:t xml:space="preserve">All local anaesthetic medications and additives prepared for infusions should be clearly labelled and delivered via yellow colour coded syringes (or bags) </w:t>
      </w:r>
      <w:r>
        <w:rPr>
          <w:lang w:eastAsia="ja-JP"/>
        </w:rPr>
        <w:t xml:space="preserve">or tubing </w:t>
      </w:r>
      <w:r w:rsidRPr="007438D2">
        <w:rPr>
          <w:lang w:eastAsia="ja-JP"/>
        </w:rPr>
        <w:t xml:space="preserve">in accordance </w:t>
      </w:r>
      <w:r>
        <w:rPr>
          <w:lang w:eastAsia="ja-JP"/>
        </w:rPr>
        <w:t>with</w:t>
      </w:r>
      <w:r w:rsidRPr="007438D2">
        <w:rPr>
          <w:lang w:eastAsia="ja-JP"/>
        </w:rPr>
        <w:t xml:space="preserve"> </w:t>
      </w:r>
      <w:r>
        <w:rPr>
          <w:lang w:eastAsia="ja-JP"/>
        </w:rPr>
        <w:t>l</w:t>
      </w:r>
      <w:r w:rsidRPr="007438D2">
        <w:rPr>
          <w:lang w:eastAsia="ja-JP"/>
        </w:rPr>
        <w:t xml:space="preserve">ocal medicine </w:t>
      </w:r>
      <w:r>
        <w:rPr>
          <w:lang w:eastAsia="ja-JP"/>
        </w:rPr>
        <w:t>m</w:t>
      </w:r>
      <w:r w:rsidRPr="007438D2">
        <w:rPr>
          <w:lang w:eastAsia="ja-JP"/>
        </w:rPr>
        <w:t xml:space="preserve">anagement </w:t>
      </w:r>
      <w:r>
        <w:rPr>
          <w:lang w:eastAsia="ja-JP"/>
        </w:rPr>
        <w:t>c</w:t>
      </w:r>
      <w:r w:rsidRPr="007438D2">
        <w:rPr>
          <w:lang w:eastAsia="ja-JP"/>
        </w:rPr>
        <w:t>ommittee guidelines</w:t>
      </w:r>
      <w:r w:rsidR="00EF5C4A" w:rsidRPr="00EF5C4A">
        <w:rPr>
          <w:vertAlign w:val="superscript"/>
          <w:lang w:eastAsia="ja-JP"/>
        </w:rPr>
        <w:fldChar w:fldCharType="begin"/>
      </w:r>
      <w:r w:rsidR="00EF5C4A" w:rsidRPr="00EF5C4A">
        <w:rPr>
          <w:vertAlign w:val="superscript"/>
          <w:lang w:eastAsia="ja-JP"/>
        </w:rPr>
        <w:instrText xml:space="preserve"> NOTEREF _Ref160112420 \h </w:instrText>
      </w:r>
      <w:r w:rsidR="00EF5C4A">
        <w:rPr>
          <w:vertAlign w:val="superscript"/>
          <w:lang w:eastAsia="ja-JP"/>
        </w:rPr>
        <w:instrText xml:space="preserve"> \* MERGEFORMAT </w:instrText>
      </w:r>
      <w:r w:rsidR="00EF5C4A" w:rsidRPr="00EF5C4A">
        <w:rPr>
          <w:vertAlign w:val="superscript"/>
          <w:lang w:eastAsia="ja-JP"/>
        </w:rPr>
      </w:r>
      <w:r w:rsidR="00EF5C4A" w:rsidRPr="00EF5C4A">
        <w:rPr>
          <w:vertAlign w:val="superscript"/>
          <w:lang w:eastAsia="ja-JP"/>
        </w:rPr>
        <w:fldChar w:fldCharType="separate"/>
      </w:r>
      <w:r w:rsidR="0088690E">
        <w:rPr>
          <w:vertAlign w:val="superscript"/>
          <w:lang w:eastAsia="ja-JP"/>
        </w:rPr>
        <w:t>36</w:t>
      </w:r>
      <w:r w:rsidR="00EF5C4A" w:rsidRPr="00EF5C4A">
        <w:rPr>
          <w:vertAlign w:val="superscript"/>
          <w:lang w:eastAsia="ja-JP"/>
        </w:rPr>
        <w:fldChar w:fldCharType="end"/>
      </w:r>
      <w:r w:rsidR="00EF5C4A" w:rsidRPr="00EF5C4A">
        <w:rPr>
          <w:vertAlign w:val="superscript"/>
          <w:lang w:eastAsia="ja-JP"/>
        </w:rPr>
        <w:t>,</w:t>
      </w:r>
      <w:r w:rsidR="00EF5C4A" w:rsidRPr="00EF5C4A">
        <w:rPr>
          <w:vertAlign w:val="superscript"/>
          <w:lang w:eastAsia="ja-JP"/>
        </w:rPr>
        <w:fldChar w:fldCharType="begin"/>
      </w:r>
      <w:r w:rsidR="00EF5C4A" w:rsidRPr="00EF5C4A">
        <w:rPr>
          <w:vertAlign w:val="superscript"/>
          <w:lang w:eastAsia="ja-JP"/>
        </w:rPr>
        <w:instrText xml:space="preserve"> NOTEREF _Ref160112422 \h </w:instrText>
      </w:r>
      <w:r w:rsidR="00EF5C4A">
        <w:rPr>
          <w:vertAlign w:val="superscript"/>
          <w:lang w:eastAsia="ja-JP"/>
        </w:rPr>
        <w:instrText xml:space="preserve"> \* MERGEFORMAT </w:instrText>
      </w:r>
      <w:r w:rsidR="00EF5C4A" w:rsidRPr="00EF5C4A">
        <w:rPr>
          <w:vertAlign w:val="superscript"/>
          <w:lang w:eastAsia="ja-JP"/>
        </w:rPr>
      </w:r>
      <w:r w:rsidR="00EF5C4A" w:rsidRPr="00EF5C4A">
        <w:rPr>
          <w:vertAlign w:val="superscript"/>
          <w:lang w:eastAsia="ja-JP"/>
        </w:rPr>
        <w:fldChar w:fldCharType="separate"/>
      </w:r>
      <w:r w:rsidR="0088690E">
        <w:rPr>
          <w:vertAlign w:val="superscript"/>
          <w:lang w:eastAsia="ja-JP"/>
        </w:rPr>
        <w:t>37</w:t>
      </w:r>
      <w:r w:rsidR="00EF5C4A" w:rsidRPr="00EF5C4A">
        <w:rPr>
          <w:vertAlign w:val="superscript"/>
          <w:lang w:eastAsia="ja-JP"/>
        </w:rPr>
        <w:fldChar w:fldCharType="end"/>
      </w:r>
      <w:r w:rsidR="00EF5C4A" w:rsidRPr="00EF5C4A">
        <w:rPr>
          <w:vertAlign w:val="superscript"/>
          <w:lang w:eastAsia="ja-JP"/>
        </w:rPr>
        <w:t>,</w:t>
      </w:r>
      <w:r w:rsidR="00EF5C4A" w:rsidRPr="00EF5C4A">
        <w:rPr>
          <w:vertAlign w:val="superscript"/>
          <w:lang w:eastAsia="ja-JP"/>
        </w:rPr>
        <w:fldChar w:fldCharType="begin"/>
      </w:r>
      <w:r w:rsidR="00EF5C4A" w:rsidRPr="00EF5C4A">
        <w:rPr>
          <w:vertAlign w:val="superscript"/>
          <w:lang w:eastAsia="ja-JP"/>
        </w:rPr>
        <w:instrText xml:space="preserve"> NOTEREF _Ref160112423 \h </w:instrText>
      </w:r>
      <w:r w:rsidR="00EF5C4A">
        <w:rPr>
          <w:vertAlign w:val="superscript"/>
          <w:lang w:eastAsia="ja-JP"/>
        </w:rPr>
        <w:instrText xml:space="preserve"> \* MERGEFORMAT </w:instrText>
      </w:r>
      <w:r w:rsidR="00EF5C4A" w:rsidRPr="00EF5C4A">
        <w:rPr>
          <w:vertAlign w:val="superscript"/>
          <w:lang w:eastAsia="ja-JP"/>
        </w:rPr>
      </w:r>
      <w:r w:rsidR="00EF5C4A" w:rsidRPr="00EF5C4A">
        <w:rPr>
          <w:vertAlign w:val="superscript"/>
          <w:lang w:eastAsia="ja-JP"/>
        </w:rPr>
        <w:fldChar w:fldCharType="separate"/>
      </w:r>
      <w:r w:rsidR="0088690E">
        <w:rPr>
          <w:vertAlign w:val="superscript"/>
          <w:lang w:eastAsia="ja-JP"/>
        </w:rPr>
        <w:t>38</w:t>
      </w:r>
      <w:r w:rsidR="00EF5C4A" w:rsidRPr="00EF5C4A">
        <w:rPr>
          <w:vertAlign w:val="superscript"/>
          <w:lang w:eastAsia="ja-JP"/>
        </w:rPr>
        <w:fldChar w:fldCharType="end"/>
      </w:r>
      <w:r w:rsidRPr="007438D2">
        <w:rPr>
          <w:lang w:eastAsia="ja-JP"/>
        </w:rPr>
        <w:t>.</w:t>
      </w:r>
    </w:p>
    <w:p w14:paraId="2D5DB128" w14:textId="77777777" w:rsidR="00B52F78" w:rsidRDefault="007438D2" w:rsidP="00A568B8">
      <w:pPr>
        <w:pStyle w:val="recommendation"/>
        <w:rPr>
          <w:lang w:eastAsia="ja-JP"/>
        </w:rPr>
      </w:pPr>
      <w:r w:rsidRPr="007438D2">
        <w:rPr>
          <w:lang w:eastAsia="ja-JP"/>
        </w:rPr>
        <w:t>All drugs required for safe delivery of anaesthesia</w:t>
      </w:r>
      <w:r w:rsidR="00EF5C4A">
        <w:rPr>
          <w:lang w:eastAsia="ja-JP"/>
        </w:rPr>
        <w:t>,</w:t>
      </w:r>
      <w:r w:rsidRPr="007438D2">
        <w:rPr>
          <w:lang w:eastAsia="ja-JP"/>
        </w:rPr>
        <w:t xml:space="preserve"> including emergency drugs, should be available. </w:t>
      </w:r>
    </w:p>
    <w:p w14:paraId="3A4EBA60" w14:textId="4A4DFFDD" w:rsidR="007438D2" w:rsidRDefault="007438D2" w:rsidP="00A568B8">
      <w:pPr>
        <w:pStyle w:val="recommendation"/>
        <w:rPr>
          <w:lang w:eastAsia="ja-JP"/>
        </w:rPr>
      </w:pPr>
      <w:r w:rsidRPr="007438D2">
        <w:rPr>
          <w:lang w:eastAsia="ja-JP"/>
        </w:rPr>
        <w:t>Lipid emulsion therapy should be eas</w:t>
      </w:r>
      <w:r w:rsidR="00A4445A">
        <w:rPr>
          <w:lang w:eastAsia="ja-JP"/>
        </w:rPr>
        <w:t>il</w:t>
      </w:r>
      <w:r w:rsidRPr="007438D2">
        <w:rPr>
          <w:lang w:eastAsia="ja-JP"/>
        </w:rPr>
        <w:t>y accessible near all clinical locations where local anaesthetics are being administered.</w:t>
      </w:r>
    </w:p>
    <w:p w14:paraId="302EDAC2" w14:textId="574BB52A" w:rsidR="007438D2" w:rsidRDefault="007438D2" w:rsidP="00A568B8">
      <w:pPr>
        <w:pStyle w:val="recommendation"/>
        <w:rPr>
          <w:lang w:eastAsia="ja-JP"/>
        </w:rPr>
      </w:pPr>
      <w:r w:rsidRPr="007438D2">
        <w:rPr>
          <w:lang w:eastAsia="ja-JP"/>
        </w:rPr>
        <w:t>There must be a system for ordering, storage, recording and auditing of controlled medicines (such as local anaesthetics with opioids for epidural infusions) in all areas where they are used, in accordance with legislation</w:t>
      </w:r>
      <w:r w:rsidR="00E0742C" w:rsidRPr="00453084">
        <w:rPr>
          <w:rStyle w:val="EndnoteReference"/>
          <w:lang w:eastAsia="ja-JP"/>
        </w:rPr>
        <w:endnoteReference w:id="39"/>
      </w:r>
      <w:r w:rsidR="00202F4E" w:rsidRPr="00453084">
        <w:rPr>
          <w:vertAlign w:val="superscript"/>
          <w:lang w:eastAsia="ja-JP"/>
        </w:rPr>
        <w:t>,</w:t>
      </w:r>
      <w:r w:rsidR="00202F4E" w:rsidRPr="00453084">
        <w:rPr>
          <w:rStyle w:val="EndnoteReference"/>
          <w:lang w:eastAsia="ja-JP"/>
        </w:rPr>
        <w:endnoteReference w:id="40"/>
      </w:r>
      <w:r w:rsidRPr="007438D2">
        <w:rPr>
          <w:lang w:eastAsia="ja-JP"/>
        </w:rPr>
        <w:t>.</w:t>
      </w:r>
    </w:p>
    <w:p w14:paraId="66B85325" w14:textId="2E76758F" w:rsidR="007438D2" w:rsidRDefault="007438D2" w:rsidP="00A568B8">
      <w:pPr>
        <w:pStyle w:val="recommendation"/>
        <w:rPr>
          <w:lang w:eastAsia="ja-JP"/>
        </w:rPr>
      </w:pPr>
      <w:r w:rsidRPr="007438D2">
        <w:rPr>
          <w:lang w:eastAsia="ja-JP"/>
        </w:rPr>
        <w:t>Robust systems should be in place to ensure reliable medicines management, stock review and supply, expiry checks, and access to appropriately trained pharmacy staff to manage any medicine shortages.</w:t>
      </w:r>
    </w:p>
    <w:p w14:paraId="42D4755F" w14:textId="45F005D7" w:rsidR="007438D2" w:rsidRDefault="007438D2" w:rsidP="00A568B8">
      <w:pPr>
        <w:pStyle w:val="recommendation"/>
        <w:rPr>
          <w:lang w:eastAsia="ja-JP"/>
        </w:rPr>
      </w:pPr>
      <w:r w:rsidRPr="007438D2">
        <w:rPr>
          <w:lang w:eastAsia="ja-JP"/>
        </w:rPr>
        <w:t xml:space="preserve">All staff involved in the prescribing, dispensing, preparing, </w:t>
      </w:r>
      <w:proofErr w:type="gramStart"/>
      <w:r w:rsidRPr="007438D2">
        <w:rPr>
          <w:lang w:eastAsia="ja-JP"/>
        </w:rPr>
        <w:t>administering</w:t>
      </w:r>
      <w:proofErr w:type="gramEnd"/>
      <w:r w:rsidRPr="007438D2">
        <w:rPr>
          <w:lang w:eastAsia="ja-JP"/>
        </w:rPr>
        <w:t xml:space="preserve"> and monitoring of LA infusions must be appropriately trained with access to resources on safe preparation and administration of LA drugs and access to a pharmacy service for advice</w:t>
      </w:r>
      <w:r w:rsidR="0022027E">
        <w:rPr>
          <w:rStyle w:val="EndnoteReference"/>
          <w:lang w:eastAsia="ja-JP"/>
        </w:rPr>
        <w:endnoteReference w:id="41"/>
      </w:r>
      <w:r>
        <w:rPr>
          <w:lang w:eastAsia="ja-JP"/>
        </w:rPr>
        <w:t>.</w:t>
      </w:r>
    </w:p>
    <w:p w14:paraId="1D5F2765" w14:textId="76E8B219" w:rsidR="00893544" w:rsidRDefault="00590479" w:rsidP="00A568B8">
      <w:pPr>
        <w:pStyle w:val="recommendation"/>
        <w:rPr>
          <w:lang w:eastAsia="ja-JP"/>
        </w:rPr>
      </w:pPr>
      <w:r>
        <w:rPr>
          <w:lang w:eastAsia="ja-JP"/>
        </w:rPr>
        <w:t>Electronic or paper copies of patient records should be available at all sites prior to the procedure. Patient data should be updated in a timely manner after performing the regional block</w:t>
      </w:r>
      <w:r w:rsidR="00D5236A">
        <w:rPr>
          <w:rStyle w:val="EndnoteReference"/>
          <w:lang w:eastAsia="ja-JP"/>
        </w:rPr>
        <w:endnoteReference w:id="42"/>
      </w:r>
      <w:r>
        <w:rPr>
          <w:lang w:eastAsia="ja-JP"/>
        </w:rPr>
        <w:t>.</w:t>
      </w:r>
    </w:p>
    <w:p w14:paraId="2406B58D" w14:textId="77777777" w:rsidR="00A75039" w:rsidRPr="00A75039" w:rsidRDefault="00A75039" w:rsidP="00DC3965">
      <w:pPr>
        <w:pStyle w:val="ListParagraph"/>
        <w:numPr>
          <w:ilvl w:val="0"/>
          <w:numId w:val="5"/>
        </w:numPr>
        <w:rPr>
          <w:vanish/>
          <w:lang w:eastAsia="ja-JP"/>
        </w:rPr>
      </w:pPr>
    </w:p>
    <w:p w14:paraId="4402835F" w14:textId="77777777" w:rsidR="00A75039" w:rsidRPr="00A75039" w:rsidRDefault="00A75039" w:rsidP="00DC3965">
      <w:pPr>
        <w:pStyle w:val="ListParagraph"/>
        <w:numPr>
          <w:ilvl w:val="0"/>
          <w:numId w:val="5"/>
        </w:numPr>
        <w:rPr>
          <w:vanish/>
          <w:lang w:eastAsia="ja-JP"/>
        </w:rPr>
      </w:pPr>
    </w:p>
    <w:p w14:paraId="7735A3BE" w14:textId="77777777" w:rsidR="00A75039" w:rsidRPr="00A75039" w:rsidRDefault="00A75039" w:rsidP="00DC3965">
      <w:pPr>
        <w:pStyle w:val="ListParagraph"/>
        <w:numPr>
          <w:ilvl w:val="0"/>
          <w:numId w:val="5"/>
        </w:numPr>
        <w:rPr>
          <w:vanish/>
          <w:lang w:eastAsia="ja-JP"/>
        </w:rPr>
      </w:pPr>
    </w:p>
    <w:p w14:paraId="353B3CAD" w14:textId="77777777" w:rsidR="00A75039" w:rsidRPr="00A75039" w:rsidRDefault="00A75039" w:rsidP="00DC3965">
      <w:pPr>
        <w:pStyle w:val="ListParagraph"/>
        <w:keepNext/>
        <w:keepLines/>
        <w:numPr>
          <w:ilvl w:val="0"/>
          <w:numId w:val="4"/>
        </w:numPr>
        <w:spacing w:before="200" w:after="120"/>
        <w:outlineLvl w:val="3"/>
        <w:rPr>
          <w:rFonts w:eastAsia="MS ????"/>
          <w:b/>
          <w:bCs/>
          <w:vanish/>
          <w:sz w:val="24"/>
          <w:szCs w:val="24"/>
          <w:lang w:eastAsia="ja-JP"/>
        </w:rPr>
      </w:pPr>
    </w:p>
    <w:p w14:paraId="33843E67" w14:textId="00E1E6F5" w:rsidR="00B31840" w:rsidRDefault="00EE5218" w:rsidP="00EE5218">
      <w:pPr>
        <w:pStyle w:val="Heading2"/>
      </w:pPr>
      <w:r>
        <w:t>4       Preoperative assessment</w:t>
      </w:r>
      <w:r w:rsidR="00333915">
        <w:t>, patient information and consent</w:t>
      </w:r>
    </w:p>
    <w:p w14:paraId="7FAC6DDB" w14:textId="542543BD" w:rsidR="000726FD" w:rsidRDefault="000726FD" w:rsidP="000726FD">
      <w:pPr>
        <w:pStyle w:val="recommendation"/>
        <w:rPr>
          <w:lang w:eastAsia="ja-JP"/>
        </w:rPr>
      </w:pPr>
      <w:r w:rsidRPr="000726FD">
        <w:rPr>
          <w:lang w:eastAsia="ja-JP"/>
        </w:rPr>
        <w:t>Patients undergoing regional anaesthesia should be offered a preoperative assessment service either face to face, via telephone or through computer-based virtual platforms prior to the day of their procedure</w:t>
      </w:r>
      <w:bookmarkStart w:id="18" w:name="_Ref160109397"/>
      <w:r>
        <w:rPr>
          <w:rStyle w:val="EndnoteReference"/>
          <w:lang w:eastAsia="ja-JP"/>
        </w:rPr>
        <w:endnoteReference w:id="43"/>
      </w:r>
      <w:bookmarkEnd w:id="18"/>
      <w:r>
        <w:rPr>
          <w:lang w:eastAsia="ja-JP"/>
        </w:rPr>
        <w:t>.</w:t>
      </w:r>
    </w:p>
    <w:p w14:paraId="1C8FD30B" w14:textId="1B85E364" w:rsidR="000726FD" w:rsidRDefault="000726FD" w:rsidP="000726FD">
      <w:pPr>
        <w:pStyle w:val="recommendation"/>
        <w:rPr>
          <w:lang w:eastAsia="ja-JP"/>
        </w:rPr>
      </w:pPr>
      <w:r>
        <w:rPr>
          <w:lang w:eastAsia="ja-JP"/>
        </w:rPr>
        <w:t>There should be arrangements or standing orders in place for agreed preoperative laboratory investigations. Support from laboratories or clinical testing services for risk assessment and optimisation of patients, will maximise the utilisation of regional anaesthesia</w:t>
      </w:r>
      <w:r w:rsidR="00124A15" w:rsidRPr="00124A15">
        <w:rPr>
          <w:vertAlign w:val="superscript"/>
          <w:lang w:eastAsia="ja-JP"/>
        </w:rPr>
        <w:fldChar w:fldCharType="begin"/>
      </w:r>
      <w:r w:rsidR="00124A15" w:rsidRPr="00124A15">
        <w:rPr>
          <w:vertAlign w:val="superscript"/>
          <w:lang w:eastAsia="ja-JP"/>
        </w:rPr>
        <w:instrText xml:space="preserve"> NOTEREF _Ref160109397 \h </w:instrText>
      </w:r>
      <w:r w:rsidR="00124A15">
        <w:rPr>
          <w:vertAlign w:val="superscript"/>
          <w:lang w:eastAsia="ja-JP"/>
        </w:rPr>
        <w:instrText xml:space="preserve"> \* MERGEFORMAT </w:instrText>
      </w:r>
      <w:r w:rsidR="00124A15" w:rsidRPr="00124A15">
        <w:rPr>
          <w:vertAlign w:val="superscript"/>
          <w:lang w:eastAsia="ja-JP"/>
        </w:rPr>
      </w:r>
      <w:r w:rsidR="00124A15" w:rsidRPr="00124A15">
        <w:rPr>
          <w:vertAlign w:val="superscript"/>
          <w:lang w:eastAsia="ja-JP"/>
        </w:rPr>
        <w:fldChar w:fldCharType="separate"/>
      </w:r>
      <w:r w:rsidR="0088690E">
        <w:rPr>
          <w:vertAlign w:val="superscript"/>
          <w:lang w:eastAsia="ja-JP"/>
        </w:rPr>
        <w:t>43</w:t>
      </w:r>
      <w:r w:rsidR="00124A15" w:rsidRPr="00124A15">
        <w:rPr>
          <w:vertAlign w:val="superscript"/>
          <w:lang w:eastAsia="ja-JP"/>
        </w:rPr>
        <w:fldChar w:fldCharType="end"/>
      </w:r>
      <w:r>
        <w:rPr>
          <w:lang w:eastAsia="ja-JP"/>
        </w:rPr>
        <w:t>.</w:t>
      </w:r>
    </w:p>
    <w:p w14:paraId="54A00E42" w14:textId="3FCDF9F6" w:rsidR="000726FD" w:rsidRDefault="000726FD" w:rsidP="000726FD">
      <w:pPr>
        <w:pStyle w:val="recommendation"/>
        <w:rPr>
          <w:lang w:eastAsia="ja-JP"/>
        </w:rPr>
      </w:pPr>
      <w:r>
        <w:rPr>
          <w:lang w:eastAsia="ja-JP"/>
        </w:rPr>
        <w:t xml:space="preserve">Multidisciplinary support for preoperative assessment staff from other physicians, medical specialists, anaesthetists, </w:t>
      </w:r>
      <w:proofErr w:type="gramStart"/>
      <w:r>
        <w:rPr>
          <w:lang w:eastAsia="ja-JP"/>
        </w:rPr>
        <w:t>surgeons</w:t>
      </w:r>
      <w:proofErr w:type="gramEnd"/>
      <w:r>
        <w:rPr>
          <w:lang w:eastAsia="ja-JP"/>
        </w:rPr>
        <w:t xml:space="preserve"> and pain management teams should be available.</w:t>
      </w:r>
    </w:p>
    <w:p w14:paraId="1B4FDBD6" w14:textId="61D37F8A" w:rsidR="000726FD" w:rsidRDefault="000726FD" w:rsidP="000726FD">
      <w:pPr>
        <w:pStyle w:val="recommendation"/>
        <w:rPr>
          <w:lang w:eastAsia="ja-JP"/>
        </w:rPr>
      </w:pPr>
      <w:r>
        <w:rPr>
          <w:lang w:eastAsia="ja-JP"/>
        </w:rPr>
        <w:t>As part of preoperative preparation, the plan for the perioperative management of any existing medications, such as anticoagulant drugs and diabetic treatment, should be agreed, taking into account the relative risks of stopping any medication in the light of the patient’s medical condition and the anaesthetic technique required</w:t>
      </w:r>
      <w:r w:rsidR="00124A15" w:rsidRPr="00124A15">
        <w:rPr>
          <w:vertAlign w:val="superscript"/>
          <w:lang w:eastAsia="ja-JP"/>
        </w:rPr>
        <w:fldChar w:fldCharType="begin"/>
      </w:r>
      <w:r w:rsidR="00124A15" w:rsidRPr="00124A15">
        <w:rPr>
          <w:vertAlign w:val="superscript"/>
          <w:lang w:eastAsia="ja-JP"/>
        </w:rPr>
        <w:instrText xml:space="preserve"> NOTEREF _Ref160109397 \h </w:instrText>
      </w:r>
      <w:r w:rsidR="00124A15">
        <w:rPr>
          <w:vertAlign w:val="superscript"/>
          <w:lang w:eastAsia="ja-JP"/>
        </w:rPr>
        <w:instrText xml:space="preserve"> \* MERGEFORMAT </w:instrText>
      </w:r>
      <w:r w:rsidR="00124A15" w:rsidRPr="00124A15">
        <w:rPr>
          <w:vertAlign w:val="superscript"/>
          <w:lang w:eastAsia="ja-JP"/>
        </w:rPr>
      </w:r>
      <w:r w:rsidR="00124A15" w:rsidRPr="00124A15">
        <w:rPr>
          <w:vertAlign w:val="superscript"/>
          <w:lang w:eastAsia="ja-JP"/>
        </w:rPr>
        <w:fldChar w:fldCharType="separate"/>
      </w:r>
      <w:r w:rsidR="0088690E">
        <w:rPr>
          <w:vertAlign w:val="superscript"/>
          <w:lang w:eastAsia="ja-JP"/>
        </w:rPr>
        <w:t>43</w:t>
      </w:r>
      <w:r w:rsidR="00124A15" w:rsidRPr="00124A15">
        <w:rPr>
          <w:vertAlign w:val="superscript"/>
          <w:lang w:eastAsia="ja-JP"/>
        </w:rPr>
        <w:fldChar w:fldCharType="end"/>
      </w:r>
      <w:r>
        <w:rPr>
          <w:lang w:eastAsia="ja-JP"/>
        </w:rPr>
        <w:t>.</w:t>
      </w:r>
    </w:p>
    <w:p w14:paraId="27FC242A" w14:textId="06CFB1EE" w:rsidR="000726FD" w:rsidRDefault="000726FD" w:rsidP="000726FD">
      <w:pPr>
        <w:pStyle w:val="recommendation"/>
        <w:rPr>
          <w:lang w:eastAsia="ja-JP"/>
        </w:rPr>
      </w:pPr>
      <w:r>
        <w:rPr>
          <w:lang w:eastAsia="ja-JP"/>
        </w:rPr>
        <w:lastRenderedPageBreak/>
        <w:t>Policies pertaining to regional anaesthesia, alerts and recommendations could be made available using electronic information systems as well as poster displays in all clinical areas.</w:t>
      </w:r>
    </w:p>
    <w:p w14:paraId="3DE64CDE" w14:textId="31D6273F" w:rsidR="00054EF7" w:rsidRDefault="00054EF7" w:rsidP="00EE5218">
      <w:pPr>
        <w:pStyle w:val="recommendation"/>
        <w:rPr>
          <w:lang w:eastAsia="ja-JP"/>
        </w:rPr>
      </w:pPr>
      <w:r w:rsidRPr="00054EF7">
        <w:rPr>
          <w:lang w:eastAsia="ja-JP"/>
        </w:rPr>
        <w:t xml:space="preserve">Patients undergoing regional anaesthesia should undergo preoperative preparation, where there is the opportunity to assess medical fitness and impart information about the procedure. An individualised risk-benefit assessment and discussion should occur with every patient considering regional anaesthesia. Relevant guidance should be followed where appropriate based on the patient, the procedure and the specific regional technique </w:t>
      </w:r>
      <w:proofErr w:type="gramStart"/>
      <w:r w:rsidRPr="00054EF7">
        <w:rPr>
          <w:lang w:eastAsia="ja-JP"/>
        </w:rPr>
        <w:t>e.g.</w:t>
      </w:r>
      <w:proofErr w:type="gramEnd"/>
      <w:r w:rsidRPr="00054EF7">
        <w:rPr>
          <w:lang w:eastAsia="ja-JP"/>
        </w:rPr>
        <w:t xml:space="preserve"> Association of Anaesthetist</w:t>
      </w:r>
      <w:r w:rsidR="009A6ED1">
        <w:rPr>
          <w:lang w:eastAsia="ja-JP"/>
        </w:rPr>
        <w:t>s</w:t>
      </w:r>
      <w:r w:rsidRPr="00054EF7">
        <w:rPr>
          <w:lang w:eastAsia="ja-JP"/>
        </w:rPr>
        <w:t xml:space="preserve"> guidance on compartment syndrome, coagulation etc</w:t>
      </w:r>
    </w:p>
    <w:p w14:paraId="43E085CB" w14:textId="0AB37DD7" w:rsidR="00054EF7" w:rsidRDefault="00054EF7" w:rsidP="00EE5218">
      <w:pPr>
        <w:pStyle w:val="recommendation"/>
        <w:rPr>
          <w:lang w:eastAsia="ja-JP"/>
        </w:rPr>
      </w:pPr>
      <w:r w:rsidRPr="00054EF7">
        <w:rPr>
          <w:lang w:eastAsia="ja-JP"/>
        </w:rPr>
        <w:t>Association of Anaesthetist</w:t>
      </w:r>
      <w:r w:rsidR="009A6ED1">
        <w:rPr>
          <w:lang w:eastAsia="ja-JP"/>
        </w:rPr>
        <w:t>s</w:t>
      </w:r>
      <w:r w:rsidRPr="00054EF7">
        <w:rPr>
          <w:lang w:eastAsia="ja-JP"/>
        </w:rPr>
        <w:t xml:space="preserve"> Consensus guidelines on regional anaesthesia for patients at risk of lower limb compartment syndrome should be followed. Discussion of risk with the patient should occur where possible</w:t>
      </w:r>
      <w:r w:rsidR="00944784">
        <w:rPr>
          <w:lang w:eastAsia="ja-JP"/>
        </w:rPr>
        <w:t>.</w:t>
      </w:r>
    </w:p>
    <w:p w14:paraId="26A690CE" w14:textId="469727CF" w:rsidR="00054EF7" w:rsidRDefault="00054EF7" w:rsidP="00EE5218">
      <w:pPr>
        <w:pStyle w:val="recommendation"/>
        <w:rPr>
          <w:lang w:eastAsia="ja-JP"/>
        </w:rPr>
      </w:pPr>
      <w:r w:rsidRPr="00054EF7">
        <w:rPr>
          <w:lang w:eastAsia="ja-JP"/>
        </w:rPr>
        <w:t>In patients with abnormalities of coagulation it is essential to consider the risk-benefit balance associated with regional anaesthesia. Both the risk and potential consequence of bleeding should be considered. Recommendations relating to the drugs used to modify coagulation, abnormalities of coagulation and the relative risk of individual regional anaesthetic techniques should be followed</w:t>
      </w:r>
      <w:r w:rsidR="00342BC7">
        <w:rPr>
          <w:rStyle w:val="EndnoteReference"/>
          <w:lang w:eastAsia="ja-JP"/>
        </w:rPr>
        <w:endnoteReference w:id="44"/>
      </w:r>
      <w:r w:rsidRPr="00054EF7">
        <w:rPr>
          <w:lang w:eastAsia="ja-JP"/>
        </w:rPr>
        <w:t>.</w:t>
      </w:r>
    </w:p>
    <w:p w14:paraId="354B3163" w14:textId="47945E88" w:rsidR="00944784" w:rsidRDefault="00944784" w:rsidP="00C510D7">
      <w:pPr>
        <w:pStyle w:val="Heading3"/>
        <w:rPr>
          <w:lang w:eastAsia="ja-JP"/>
        </w:rPr>
      </w:pPr>
      <w:r>
        <w:rPr>
          <w:lang w:eastAsia="ja-JP"/>
        </w:rPr>
        <w:t>Patient information</w:t>
      </w:r>
      <w:r w:rsidR="009F27AF">
        <w:rPr>
          <w:lang w:eastAsia="ja-JP"/>
        </w:rPr>
        <w:t xml:space="preserve"> and consent</w:t>
      </w:r>
      <w:r w:rsidR="00342BC7">
        <w:rPr>
          <w:rStyle w:val="EndnoteReference"/>
          <w:lang w:eastAsia="ja-JP"/>
        </w:rPr>
        <w:endnoteReference w:id="45"/>
      </w:r>
    </w:p>
    <w:p w14:paraId="424A214A" w14:textId="2A212BBF" w:rsidR="0088690E" w:rsidRPr="0088690E" w:rsidRDefault="0088690E" w:rsidP="0088690E">
      <w:pPr>
        <w:pStyle w:val="recommendation"/>
        <w:numPr>
          <w:ilvl w:val="0"/>
          <w:numId w:val="0"/>
        </w:numPr>
      </w:pPr>
      <w:r>
        <w:rPr>
          <w:rStyle w:val="NoneB"/>
          <w:rFonts w:eastAsia="Arial Unicode MS" w:cs="Arial Unicode MS"/>
        </w:rPr>
        <w:t>Patient information and consent for regional anaesthesia should follow the detailed guidance outlined in</w:t>
      </w:r>
      <w:r>
        <w:rPr>
          <w:rStyle w:val="NoneB"/>
        </w:rPr>
        <w:t> </w:t>
      </w:r>
      <w:hyperlink r:id="rId17" w:history="1">
        <w:r>
          <w:rPr>
            <w:rStyle w:val="Hyperlink3"/>
          </w:rPr>
          <w:t>Chapter 2: Guidelines for the Provision of Anaesthesia Services for Perioperative Care of Elective and Urgent Care Patients</w:t>
        </w:r>
      </w:hyperlink>
      <w:r>
        <w:rPr>
          <w:rStyle w:val="NoneB"/>
        </w:rPr>
        <w:t>. </w:t>
      </w:r>
    </w:p>
    <w:p w14:paraId="20B2620F" w14:textId="55167F17" w:rsidR="00944784" w:rsidRDefault="00944784" w:rsidP="00944784">
      <w:pPr>
        <w:pStyle w:val="recommendation"/>
        <w:rPr>
          <w:lang w:eastAsia="ja-JP"/>
        </w:rPr>
      </w:pPr>
      <w:r w:rsidRPr="00944784">
        <w:rPr>
          <w:lang w:eastAsia="ja-JP"/>
        </w:rPr>
        <w:t xml:space="preserve">Consent may be obtained by the practitioner performing the regional anaesthetic technique, but </w:t>
      </w:r>
      <w:r w:rsidR="0088690E">
        <w:rPr>
          <w:lang w:eastAsia="ja-JP"/>
        </w:rPr>
        <w:t>may</w:t>
      </w:r>
      <w:r w:rsidRPr="00944784">
        <w:rPr>
          <w:lang w:eastAsia="ja-JP"/>
        </w:rPr>
        <w:t xml:space="preserve"> also be discussed in advance (</w:t>
      </w:r>
      <w:proofErr w:type="gramStart"/>
      <w:r w:rsidRPr="00944784">
        <w:rPr>
          <w:lang w:eastAsia="ja-JP"/>
        </w:rPr>
        <w:t>eg</w:t>
      </w:r>
      <w:proofErr w:type="gramEnd"/>
      <w:r w:rsidRPr="00944784">
        <w:rPr>
          <w:lang w:eastAsia="ja-JP"/>
        </w:rPr>
        <w:t xml:space="preserve"> in the pre</w:t>
      </w:r>
      <w:r w:rsidR="00EE2BB5">
        <w:rPr>
          <w:lang w:eastAsia="ja-JP"/>
        </w:rPr>
        <w:t xml:space="preserve">operative </w:t>
      </w:r>
      <w:r w:rsidRPr="00944784">
        <w:rPr>
          <w:lang w:eastAsia="ja-JP"/>
        </w:rPr>
        <w:t>assessment clinic) by a person not performing the nerve block. The person obtaining consent for a regional anaesthetic procedure should be able to communicate the practicalities of the nerve block, the intended benefits, the risks involved and any alternatives available</w:t>
      </w:r>
      <w:r w:rsidR="00EE2BB5">
        <w:rPr>
          <w:lang w:eastAsia="ja-JP"/>
        </w:rPr>
        <w:t>.</w:t>
      </w:r>
    </w:p>
    <w:p w14:paraId="3E8AB93B" w14:textId="3FE3A046" w:rsidR="00944784" w:rsidRDefault="00944784" w:rsidP="00944784">
      <w:pPr>
        <w:pStyle w:val="recommendation"/>
        <w:rPr>
          <w:lang w:eastAsia="ja-JP"/>
        </w:rPr>
      </w:pPr>
      <w:r w:rsidRPr="00944784">
        <w:rPr>
          <w:lang w:eastAsia="ja-JP"/>
        </w:rPr>
        <w:t>Shared decision</w:t>
      </w:r>
      <w:r w:rsidR="00E26F13">
        <w:rPr>
          <w:lang w:eastAsia="ja-JP"/>
        </w:rPr>
        <w:t xml:space="preserve"> </w:t>
      </w:r>
      <w:r w:rsidRPr="00944784">
        <w:rPr>
          <w:lang w:eastAsia="ja-JP"/>
        </w:rPr>
        <w:t xml:space="preserve">making based on patients’ preferences and informed discussions around risks and benefits are vital in regional anaesthesia practice. Information leaflets (or other forms of information such as online videos) describing benefits, risks and alternatives to regional anaesthesia </w:t>
      </w:r>
      <w:r w:rsidR="009A6ED1">
        <w:rPr>
          <w:lang w:eastAsia="ja-JP"/>
        </w:rPr>
        <w:t>may</w:t>
      </w:r>
      <w:r w:rsidRPr="00944784">
        <w:rPr>
          <w:lang w:eastAsia="ja-JP"/>
        </w:rPr>
        <w:t xml:space="preserve"> be provided at the time of preoperative assessment.</w:t>
      </w:r>
    </w:p>
    <w:p w14:paraId="2334E819" w14:textId="064D68B5" w:rsidR="00944784" w:rsidRDefault="00944784" w:rsidP="00944784">
      <w:pPr>
        <w:pStyle w:val="recommendation"/>
        <w:rPr>
          <w:lang w:eastAsia="ja-JP"/>
        </w:rPr>
      </w:pPr>
      <w:r w:rsidRPr="00944784">
        <w:rPr>
          <w:lang w:eastAsia="ja-JP"/>
        </w:rPr>
        <w:t>In the elective setting, the option for regional anaesthesia should ideally be discussed with the patient prior to the day of surgery. A ‘patient information leaflet’ may help inform this discussion and, where used, should be written in language easy to understand by the patient, with a</w:t>
      </w:r>
      <w:r w:rsidR="00660FC5">
        <w:rPr>
          <w:lang w:eastAsia="ja-JP"/>
        </w:rPr>
        <w:t>n appropriate</w:t>
      </w:r>
      <w:r w:rsidRPr="00944784">
        <w:rPr>
          <w:lang w:eastAsia="ja-JP"/>
        </w:rPr>
        <w:t xml:space="preserve"> translation available if required</w:t>
      </w:r>
      <w:r>
        <w:rPr>
          <w:lang w:eastAsia="ja-JP"/>
        </w:rPr>
        <w:t>.</w:t>
      </w:r>
    </w:p>
    <w:p w14:paraId="2E089142" w14:textId="1B17E996" w:rsidR="00944784" w:rsidRDefault="00944784" w:rsidP="00944784">
      <w:pPr>
        <w:pStyle w:val="recommendation"/>
        <w:rPr>
          <w:lang w:eastAsia="ja-JP"/>
        </w:rPr>
      </w:pPr>
      <w:r w:rsidRPr="00944784">
        <w:rPr>
          <w:lang w:eastAsia="ja-JP"/>
        </w:rPr>
        <w:t xml:space="preserve">If regional anaesthesia is not considered as an option prior to the day of surgery, consent may be obtained on the day of surgery, providing adequate time is given in the pre-operative consultation for the patient to understand the information </w:t>
      </w:r>
      <w:r w:rsidR="00E26F13">
        <w:rPr>
          <w:lang w:eastAsia="ja-JP"/>
        </w:rPr>
        <w:t>provided</w:t>
      </w:r>
      <w:r w:rsidRPr="00944784">
        <w:rPr>
          <w:lang w:eastAsia="ja-JP"/>
        </w:rPr>
        <w:t xml:space="preserve">, consider alternative options and </w:t>
      </w:r>
      <w:r w:rsidR="00E26F13">
        <w:rPr>
          <w:lang w:eastAsia="ja-JP"/>
        </w:rPr>
        <w:t xml:space="preserve">to </w:t>
      </w:r>
      <w:r w:rsidRPr="00944784">
        <w:rPr>
          <w:lang w:eastAsia="ja-JP"/>
        </w:rPr>
        <w:t>ask any questions they may have.</w:t>
      </w:r>
    </w:p>
    <w:p w14:paraId="1A451088" w14:textId="0880E442" w:rsidR="00944784" w:rsidRDefault="00944784" w:rsidP="00944784">
      <w:pPr>
        <w:pStyle w:val="recommendation"/>
        <w:rPr>
          <w:lang w:eastAsia="ja-JP"/>
        </w:rPr>
      </w:pPr>
      <w:r w:rsidRPr="00944784">
        <w:rPr>
          <w:lang w:eastAsia="ja-JP"/>
        </w:rPr>
        <w:t>Consent should only be obtained in the anaesthetic room under exceptional circumstances, for example in the case of emergency surgery.</w:t>
      </w:r>
    </w:p>
    <w:p w14:paraId="41660EBB" w14:textId="7F68EA44" w:rsidR="00944784" w:rsidRDefault="00944784" w:rsidP="00944784">
      <w:pPr>
        <w:pStyle w:val="recommendation"/>
        <w:rPr>
          <w:lang w:eastAsia="ja-JP"/>
        </w:rPr>
      </w:pPr>
      <w:r w:rsidRPr="00944784">
        <w:rPr>
          <w:lang w:eastAsia="ja-JP"/>
        </w:rPr>
        <w:t xml:space="preserve">The consent process should include a discussion of the process of the regional anaesthesia technique including whether this will occur while the patient is awake, sedated or under general anaesthesia. All common risks and side effects </w:t>
      </w:r>
      <w:r w:rsidR="00E26F13">
        <w:rPr>
          <w:lang w:eastAsia="ja-JP"/>
        </w:rPr>
        <w:t>of</w:t>
      </w:r>
      <w:r w:rsidRPr="00944784">
        <w:rPr>
          <w:lang w:eastAsia="ja-JP"/>
        </w:rPr>
        <w:t xml:space="preserve"> the intended block should be outlined together with serious risks</w:t>
      </w:r>
      <w:r>
        <w:rPr>
          <w:lang w:eastAsia="ja-JP"/>
        </w:rPr>
        <w:t>.</w:t>
      </w:r>
    </w:p>
    <w:p w14:paraId="55EB5586" w14:textId="76F03D8B" w:rsidR="00944784" w:rsidRDefault="00944784" w:rsidP="00944784">
      <w:pPr>
        <w:pStyle w:val="recommendation"/>
        <w:rPr>
          <w:lang w:eastAsia="ja-JP"/>
        </w:rPr>
      </w:pPr>
      <w:r w:rsidRPr="00944784">
        <w:rPr>
          <w:lang w:eastAsia="ja-JP"/>
        </w:rPr>
        <w:lastRenderedPageBreak/>
        <w:t xml:space="preserve">Patients should be told what to expect </w:t>
      </w:r>
      <w:r w:rsidR="00E26F13">
        <w:rPr>
          <w:lang w:eastAsia="ja-JP"/>
        </w:rPr>
        <w:t>following</w:t>
      </w:r>
      <w:r w:rsidRPr="00944784">
        <w:rPr>
          <w:lang w:eastAsia="ja-JP"/>
        </w:rPr>
        <w:t xml:space="preserve"> a particular nerve block, including advice on how to protect a limb to prevent damage while it remains </w:t>
      </w:r>
      <w:proofErr w:type="gramStart"/>
      <w:r w:rsidRPr="00944784">
        <w:rPr>
          <w:lang w:eastAsia="ja-JP"/>
        </w:rPr>
        <w:t>insensate</w:t>
      </w:r>
      <w:proofErr w:type="gramEnd"/>
      <w:r w:rsidRPr="00944784">
        <w:rPr>
          <w:lang w:eastAsia="ja-JP"/>
        </w:rPr>
        <w:t xml:space="preserve"> and the risk of falls or pressure sores related to a motor block of the lower limb.</w:t>
      </w:r>
    </w:p>
    <w:p w14:paraId="0A4BAEC1" w14:textId="3887FA86" w:rsidR="00EE5218" w:rsidRDefault="00944784" w:rsidP="00EE5218">
      <w:pPr>
        <w:pStyle w:val="recommendation"/>
        <w:rPr>
          <w:lang w:eastAsia="ja-JP"/>
        </w:rPr>
      </w:pPr>
      <w:r w:rsidRPr="00944784">
        <w:rPr>
          <w:lang w:eastAsia="ja-JP"/>
        </w:rPr>
        <w:t xml:space="preserve">All discussions about the intended regional anaesthetic technique should be documented in the patient’s notes. A separate formal, written consent is not required when the nerve block is used to facilitate a surgical </w:t>
      </w:r>
      <w:proofErr w:type="gramStart"/>
      <w:r w:rsidRPr="00944784">
        <w:rPr>
          <w:lang w:eastAsia="ja-JP"/>
        </w:rPr>
        <w:t>procedure</w:t>
      </w:r>
      <w:r w:rsidR="00EE2BB5">
        <w:rPr>
          <w:lang w:eastAsia="ja-JP"/>
        </w:rPr>
        <w:t>,</w:t>
      </w:r>
      <w:r w:rsidRPr="00944784">
        <w:rPr>
          <w:lang w:eastAsia="ja-JP"/>
        </w:rPr>
        <w:t xml:space="preserve"> but</w:t>
      </w:r>
      <w:proofErr w:type="gramEnd"/>
      <w:r w:rsidRPr="00944784">
        <w:rPr>
          <w:lang w:eastAsia="ja-JP"/>
        </w:rPr>
        <w:t xml:space="preserve"> should be obtained when regional anaesthesia is the sole therapeutic procedure eg. ESP block for rib fractures</w:t>
      </w:r>
      <w:r w:rsidR="009F27AF">
        <w:rPr>
          <w:lang w:eastAsia="ja-JP"/>
        </w:rPr>
        <w:t>.</w:t>
      </w:r>
      <w:r w:rsidR="0001754E">
        <w:rPr>
          <w:lang w:eastAsia="ja-JP"/>
        </w:rPr>
        <w:t xml:space="preserve"> </w:t>
      </w:r>
      <w:r w:rsidR="0001754E">
        <w:rPr>
          <w:rStyle w:val="NoneA"/>
        </w:rPr>
        <w:t>In this circumstance, the laterality of the block must also be clearly marked as part of the consent process.</w:t>
      </w:r>
    </w:p>
    <w:p w14:paraId="21178FB2" w14:textId="4961142C" w:rsidR="004319F8" w:rsidRDefault="004319F8" w:rsidP="00C510D7">
      <w:pPr>
        <w:pStyle w:val="Heading3"/>
        <w:rPr>
          <w:lang w:eastAsia="ja-JP"/>
        </w:rPr>
      </w:pPr>
      <w:r>
        <w:rPr>
          <w:lang w:eastAsia="ja-JP"/>
        </w:rPr>
        <w:t>Patient choice</w:t>
      </w:r>
    </w:p>
    <w:p w14:paraId="6A105869" w14:textId="6F8A71FC" w:rsidR="004319F8" w:rsidRDefault="004319F8" w:rsidP="004319F8">
      <w:pPr>
        <w:pStyle w:val="recommendation"/>
        <w:rPr>
          <w:lang w:eastAsia="ja-JP"/>
        </w:rPr>
      </w:pPr>
      <w:r w:rsidRPr="004319F8">
        <w:rPr>
          <w:lang w:eastAsia="ja-JP"/>
        </w:rPr>
        <w:t>Where regional anaesthesia is an option</w:t>
      </w:r>
      <w:r w:rsidR="00EE2BB5">
        <w:rPr>
          <w:lang w:eastAsia="ja-JP"/>
        </w:rPr>
        <w:t>,</w:t>
      </w:r>
      <w:r w:rsidRPr="004319F8">
        <w:rPr>
          <w:lang w:eastAsia="ja-JP"/>
        </w:rPr>
        <w:t xml:space="preserve"> this </w:t>
      </w:r>
      <w:r>
        <w:rPr>
          <w:lang w:eastAsia="ja-JP"/>
        </w:rPr>
        <w:t>should</w:t>
      </w:r>
      <w:r w:rsidRPr="004319F8">
        <w:rPr>
          <w:lang w:eastAsia="ja-JP"/>
        </w:rPr>
        <w:t xml:space="preserve"> be offered to and discussed with the patient along with the alternatives</w:t>
      </w:r>
      <w:r w:rsidRPr="00944784">
        <w:rPr>
          <w:lang w:eastAsia="ja-JP"/>
        </w:rPr>
        <w:t>.</w:t>
      </w:r>
    </w:p>
    <w:p w14:paraId="147665F7" w14:textId="6016202F" w:rsidR="004319F8" w:rsidRDefault="004319F8" w:rsidP="004319F8">
      <w:pPr>
        <w:pStyle w:val="recommendation"/>
        <w:rPr>
          <w:lang w:eastAsia="ja-JP"/>
        </w:rPr>
      </w:pPr>
      <w:r w:rsidRPr="004319F8">
        <w:rPr>
          <w:lang w:eastAsia="ja-JP"/>
        </w:rPr>
        <w:t>Hospitals should consider providing specific regional anaesthesia lists for awake procedures, staffed by an anaesthetist with a special interest in regional anaesthesia. However, alternative lists for patients unable or unwilling to undergo awake surgery should be available.</w:t>
      </w:r>
    </w:p>
    <w:p w14:paraId="64DD83D6" w14:textId="2A02B084" w:rsidR="004319F8" w:rsidRPr="00EE5218" w:rsidRDefault="004319F8" w:rsidP="00295E48">
      <w:pPr>
        <w:pStyle w:val="recommendation"/>
        <w:rPr>
          <w:lang w:eastAsia="ja-JP"/>
        </w:rPr>
      </w:pPr>
      <w:r w:rsidRPr="004319F8">
        <w:rPr>
          <w:lang w:eastAsia="ja-JP"/>
        </w:rPr>
        <w:t>Where regional anaesthesia is chosen, and where appropriate, patients should be offered the option of sedation to supplement a regional anaesthetic technique. The relative benefits of undergoing an awake procedure vs sedation vs general anaesthesia (with or without regional anaesthesia) should be considered.</w:t>
      </w:r>
    </w:p>
    <w:p w14:paraId="69932E52" w14:textId="2204B5BC" w:rsidR="0037126C" w:rsidRDefault="009F27AF" w:rsidP="009F27AF">
      <w:pPr>
        <w:pStyle w:val="Heading2"/>
      </w:pPr>
      <w:r>
        <w:t xml:space="preserve">5       </w:t>
      </w:r>
      <w:r w:rsidR="004319F8">
        <w:t>Intraoperative monitoring</w:t>
      </w:r>
      <w:r>
        <w:t xml:space="preserve"> </w:t>
      </w:r>
    </w:p>
    <w:p w14:paraId="31B90C84" w14:textId="27D01EF0" w:rsidR="004319F8" w:rsidRPr="004319F8" w:rsidRDefault="004319F8" w:rsidP="00C510D7">
      <w:pPr>
        <w:pStyle w:val="Heading3"/>
        <w:rPr>
          <w:lang w:eastAsia="ja-JP"/>
        </w:rPr>
      </w:pPr>
      <w:r>
        <w:rPr>
          <w:lang w:eastAsia="ja-JP"/>
        </w:rPr>
        <w:t>Co-ordination and communication</w:t>
      </w:r>
    </w:p>
    <w:p w14:paraId="132BDB04" w14:textId="77777777" w:rsidR="004319F8" w:rsidRPr="004319F8" w:rsidRDefault="004319F8" w:rsidP="00DC3965">
      <w:pPr>
        <w:pStyle w:val="ListParagraph"/>
        <w:keepNext/>
        <w:keepLines/>
        <w:numPr>
          <w:ilvl w:val="0"/>
          <w:numId w:val="4"/>
        </w:numPr>
        <w:spacing w:before="200" w:after="120"/>
        <w:outlineLvl w:val="3"/>
        <w:rPr>
          <w:rFonts w:eastAsia="MS ????"/>
          <w:b/>
          <w:bCs/>
          <w:vanish/>
          <w:sz w:val="24"/>
          <w:szCs w:val="24"/>
          <w:lang w:eastAsia="ja-JP"/>
        </w:rPr>
      </w:pPr>
    </w:p>
    <w:p w14:paraId="14AB13EC" w14:textId="1B47D29D" w:rsidR="004319F8" w:rsidRDefault="004319F8" w:rsidP="004319F8">
      <w:pPr>
        <w:pStyle w:val="recommendation"/>
        <w:rPr>
          <w:rStyle w:val="None"/>
          <w:lang w:eastAsia="ja-JP"/>
        </w:rPr>
      </w:pPr>
      <w:r w:rsidRPr="00CF062D">
        <w:rPr>
          <w:rStyle w:val="None"/>
        </w:rPr>
        <w:t xml:space="preserve">RA-UK/SALG national ‘Prep, Stop, Block’ guidance </w:t>
      </w:r>
      <w:r w:rsidR="00B23453">
        <w:rPr>
          <w:rStyle w:val="None"/>
        </w:rPr>
        <w:t>should</w:t>
      </w:r>
      <w:r w:rsidRPr="00CF062D">
        <w:rPr>
          <w:rStyle w:val="None"/>
        </w:rPr>
        <w:t xml:space="preserve"> be followed for all regional anaesthetic procedures involving laterality. Wrong sided block is defined as a never event by NHS England</w:t>
      </w:r>
      <w:r w:rsidR="00D41E38">
        <w:rPr>
          <w:rStyle w:val="EndnoteReference"/>
        </w:rPr>
        <w:endnoteReference w:id="46"/>
      </w:r>
      <w:r w:rsidRPr="00CF062D">
        <w:rPr>
          <w:rStyle w:val="None"/>
        </w:rPr>
        <w:t>.</w:t>
      </w:r>
    </w:p>
    <w:p w14:paraId="3AC2741A" w14:textId="2B9A3B27" w:rsidR="004319F8" w:rsidRDefault="004319F8" w:rsidP="00C510D7">
      <w:pPr>
        <w:pStyle w:val="Heading3"/>
        <w:rPr>
          <w:lang w:eastAsia="ja-JP"/>
        </w:rPr>
      </w:pPr>
      <w:r>
        <w:rPr>
          <w:lang w:eastAsia="ja-JP"/>
        </w:rPr>
        <w:t>Availability of expertise</w:t>
      </w:r>
    </w:p>
    <w:p w14:paraId="70DF9B57" w14:textId="77BC82C8" w:rsidR="00FE0116" w:rsidRDefault="00FE0116" w:rsidP="00FE0116">
      <w:pPr>
        <w:pStyle w:val="recommendation"/>
        <w:rPr>
          <w:lang w:eastAsia="ja-JP"/>
        </w:rPr>
      </w:pPr>
      <w:r>
        <w:rPr>
          <w:lang w:eastAsia="ja-JP"/>
        </w:rPr>
        <w:t>RA-UK recommend that, under certain strict criteria</w:t>
      </w:r>
      <w:r w:rsidR="00E26F13">
        <w:rPr>
          <w:lang w:eastAsia="ja-JP"/>
        </w:rPr>
        <w:t>,</w:t>
      </w:r>
      <w:r>
        <w:rPr>
          <w:lang w:eastAsia="ja-JP"/>
        </w:rPr>
        <w:t xml:space="preserve"> as defined in RA-UK supervision guidelines, intraoperative patient monitoring may be delegated to a suitably trained health care worker who has been specifically trained in patient monitoring according to Association of Anaesthetists guidelines. This recommendation pertains to awake surgery under peripheral regional anaesthesia </w:t>
      </w:r>
      <w:r w:rsidR="00716DCA" w:rsidRPr="00716DCA">
        <w:rPr>
          <w:lang w:eastAsia="ja-JP"/>
        </w:rPr>
        <w:t>but excludes patients undergoing shoulder surgery in the deck chair position</w:t>
      </w:r>
      <w:r>
        <w:rPr>
          <w:lang w:eastAsia="ja-JP"/>
        </w:rPr>
        <w:t>.</w:t>
      </w:r>
    </w:p>
    <w:p w14:paraId="411532F2" w14:textId="4206B2DF" w:rsidR="00F207EA" w:rsidRDefault="00FE0116" w:rsidP="00622E9A">
      <w:pPr>
        <w:pStyle w:val="recommendation"/>
        <w:rPr>
          <w:lang w:eastAsia="ja-JP"/>
        </w:rPr>
      </w:pPr>
      <w:r w:rsidRPr="00FE0116">
        <w:rPr>
          <w:lang w:eastAsia="ja-JP"/>
        </w:rPr>
        <w:t xml:space="preserve">When utilising the block room model, where work occurs in parallel, the anaesthetist </w:t>
      </w:r>
      <w:r w:rsidR="00C510D7">
        <w:rPr>
          <w:lang w:eastAsia="ja-JP"/>
        </w:rPr>
        <w:t>should</w:t>
      </w:r>
      <w:r w:rsidR="00C510D7" w:rsidRPr="00FE0116">
        <w:rPr>
          <w:lang w:eastAsia="ja-JP"/>
        </w:rPr>
        <w:t xml:space="preserve"> </w:t>
      </w:r>
      <w:r w:rsidRPr="00FE0116">
        <w:rPr>
          <w:lang w:eastAsia="ja-JP"/>
        </w:rPr>
        <w:t>be immediately available for the first 15 minutes after siting the block and then immediately contactable and able to attend within 2 minutes for the duration of the procedur</w:t>
      </w:r>
      <w:r>
        <w:rPr>
          <w:lang w:eastAsia="ja-JP"/>
        </w:rPr>
        <w:t>e</w:t>
      </w:r>
      <w:r w:rsidR="00926933" w:rsidRPr="00926933">
        <w:rPr>
          <w:vertAlign w:val="superscript"/>
          <w:lang w:eastAsia="ja-JP"/>
        </w:rPr>
        <w:fldChar w:fldCharType="begin"/>
      </w:r>
      <w:r w:rsidR="00926933" w:rsidRPr="00926933">
        <w:rPr>
          <w:vertAlign w:val="superscript"/>
          <w:lang w:eastAsia="ja-JP"/>
        </w:rPr>
        <w:instrText xml:space="preserve"> NOTEREF _Ref160116243 \h </w:instrText>
      </w:r>
      <w:r w:rsidR="00926933">
        <w:rPr>
          <w:vertAlign w:val="superscript"/>
          <w:lang w:eastAsia="ja-JP"/>
        </w:rPr>
        <w:instrText xml:space="preserve"> \* MERGEFORMAT </w:instrText>
      </w:r>
      <w:r w:rsidR="00926933" w:rsidRPr="00926933">
        <w:rPr>
          <w:vertAlign w:val="superscript"/>
          <w:lang w:eastAsia="ja-JP"/>
        </w:rPr>
      </w:r>
      <w:r w:rsidR="00926933" w:rsidRPr="00926933">
        <w:rPr>
          <w:vertAlign w:val="superscript"/>
          <w:lang w:eastAsia="ja-JP"/>
        </w:rPr>
        <w:fldChar w:fldCharType="separate"/>
      </w:r>
      <w:r w:rsidR="0088690E">
        <w:rPr>
          <w:vertAlign w:val="superscript"/>
          <w:lang w:eastAsia="ja-JP"/>
        </w:rPr>
        <w:t>16</w:t>
      </w:r>
      <w:r w:rsidR="00926933" w:rsidRPr="00926933">
        <w:rPr>
          <w:vertAlign w:val="superscript"/>
          <w:lang w:eastAsia="ja-JP"/>
        </w:rPr>
        <w:fldChar w:fldCharType="end"/>
      </w:r>
      <w:r>
        <w:rPr>
          <w:lang w:eastAsia="ja-JP"/>
        </w:rPr>
        <w:t>.</w:t>
      </w:r>
    </w:p>
    <w:p w14:paraId="41EFE9B0" w14:textId="23D46466" w:rsidR="00024783" w:rsidRPr="0037126C" w:rsidRDefault="00547751" w:rsidP="0037126C">
      <w:pPr>
        <w:spacing w:before="200" w:after="120"/>
        <w:ind w:left="567" w:hanging="567"/>
        <w:rPr>
          <w:b/>
          <w:color w:val="CD6084" w:themeColor="accent5"/>
          <w:sz w:val="24"/>
          <w:szCs w:val="24"/>
        </w:rPr>
      </w:pPr>
      <w:r>
        <w:rPr>
          <w:b/>
          <w:color w:val="CD6084" w:themeColor="accent5"/>
          <w:sz w:val="24"/>
          <w:szCs w:val="24"/>
        </w:rPr>
        <w:t>6</w:t>
      </w:r>
      <w:r w:rsidR="0037126C" w:rsidRPr="0037126C">
        <w:rPr>
          <w:b/>
          <w:color w:val="CD6084" w:themeColor="accent5"/>
          <w:sz w:val="24"/>
          <w:szCs w:val="24"/>
        </w:rPr>
        <w:tab/>
      </w:r>
      <w:r w:rsidR="00FE0116">
        <w:rPr>
          <w:rStyle w:val="Heading2Char"/>
        </w:rPr>
        <w:t>The postoperative period</w:t>
      </w:r>
      <w:r>
        <w:rPr>
          <w:b/>
          <w:color w:val="CD6084" w:themeColor="accent5"/>
          <w:sz w:val="24"/>
          <w:szCs w:val="24"/>
        </w:rPr>
        <w:t xml:space="preserve"> </w:t>
      </w:r>
    </w:p>
    <w:p w14:paraId="6E23F3F6" w14:textId="77777777" w:rsidR="00547751" w:rsidRPr="00547751" w:rsidRDefault="00547751" w:rsidP="00DC3965">
      <w:pPr>
        <w:pStyle w:val="ListParagraph"/>
        <w:keepNext/>
        <w:keepLines/>
        <w:numPr>
          <w:ilvl w:val="0"/>
          <w:numId w:val="4"/>
        </w:numPr>
        <w:spacing w:before="200" w:after="120"/>
        <w:outlineLvl w:val="3"/>
        <w:rPr>
          <w:rFonts w:eastAsia="MS ????"/>
          <w:b/>
          <w:bCs/>
          <w:vanish/>
          <w:sz w:val="24"/>
          <w:szCs w:val="24"/>
        </w:rPr>
      </w:pPr>
    </w:p>
    <w:p w14:paraId="3191331D" w14:textId="655C95B7" w:rsidR="00FE0116" w:rsidRDefault="00622E9A" w:rsidP="00FE0116">
      <w:pPr>
        <w:pStyle w:val="recommendation"/>
        <w:rPr>
          <w:lang w:eastAsia="ja-JP"/>
        </w:rPr>
      </w:pPr>
      <w:r w:rsidRPr="00622E9A">
        <w:rPr>
          <w:lang w:eastAsia="ja-JP"/>
        </w:rPr>
        <w:t xml:space="preserve">Following </w:t>
      </w:r>
      <w:proofErr w:type="gramStart"/>
      <w:r w:rsidR="0001754E">
        <w:rPr>
          <w:lang w:eastAsia="ja-JP"/>
        </w:rPr>
        <w:t>day</w:t>
      </w:r>
      <w:proofErr w:type="gramEnd"/>
      <w:r w:rsidR="0001754E">
        <w:rPr>
          <w:lang w:eastAsia="ja-JP"/>
        </w:rPr>
        <w:t xml:space="preserve"> </w:t>
      </w:r>
      <w:r w:rsidR="000F25DB">
        <w:rPr>
          <w:lang w:eastAsia="ja-JP"/>
        </w:rPr>
        <w:t>surgery</w:t>
      </w:r>
      <w:r w:rsidR="0001754E">
        <w:rPr>
          <w:lang w:eastAsia="ja-JP"/>
        </w:rPr>
        <w:t xml:space="preserve"> </w:t>
      </w:r>
      <w:r w:rsidRPr="00622E9A">
        <w:rPr>
          <w:lang w:eastAsia="ja-JP"/>
        </w:rPr>
        <w:t xml:space="preserve">procedures performed under general or regional anaesthesia, a responsible adult should escort the patient home and should provide support for the first 24 hours after surgery. A carer at home may not be essential if there has been </w:t>
      </w:r>
      <w:proofErr w:type="gramStart"/>
      <w:r w:rsidRPr="00622E9A">
        <w:rPr>
          <w:lang w:eastAsia="ja-JP"/>
        </w:rPr>
        <w:t>good</w:t>
      </w:r>
      <w:proofErr w:type="gramEnd"/>
      <w:r w:rsidRPr="00622E9A">
        <w:rPr>
          <w:lang w:eastAsia="ja-JP"/>
        </w:rPr>
        <w:t xml:space="preserve"> recovery </w:t>
      </w:r>
      <w:r w:rsidR="00E26F13">
        <w:rPr>
          <w:lang w:eastAsia="ja-JP"/>
        </w:rPr>
        <w:t>following a</w:t>
      </w:r>
      <w:r w:rsidRPr="00622E9A">
        <w:rPr>
          <w:lang w:eastAsia="ja-JP"/>
        </w:rPr>
        <w:t xml:space="preserve"> brief or non-invasive procedure (under short duration local anaesthetic) and where any postoperative haemorrhage is likely to be obvious and controllable with simple pressure</w:t>
      </w:r>
      <w:r>
        <w:rPr>
          <w:lang w:eastAsia="ja-JP"/>
        </w:rPr>
        <w:t>.</w:t>
      </w:r>
    </w:p>
    <w:p w14:paraId="6FE89205" w14:textId="6077A30C" w:rsidR="00622E9A" w:rsidRDefault="00622E9A" w:rsidP="00FE0116">
      <w:pPr>
        <w:pStyle w:val="recommendation"/>
        <w:rPr>
          <w:lang w:eastAsia="ja-JP"/>
        </w:rPr>
      </w:pPr>
      <w:r w:rsidRPr="00622E9A">
        <w:rPr>
          <w:lang w:eastAsia="ja-JP"/>
        </w:rPr>
        <w:t>Transport home</w:t>
      </w:r>
      <w:r w:rsidR="0001754E">
        <w:rPr>
          <w:lang w:eastAsia="ja-JP"/>
        </w:rPr>
        <w:t xml:space="preserve"> following day surgery</w:t>
      </w:r>
      <w:r w:rsidRPr="00622E9A">
        <w:rPr>
          <w:lang w:eastAsia="ja-JP"/>
        </w:rPr>
        <w:t xml:space="preserve"> should be by private car or taxi; public transport is not normally acceptable following general or regional anaesthesia.</w:t>
      </w:r>
    </w:p>
    <w:p w14:paraId="03ACB8B5" w14:textId="687940C2" w:rsidR="00622E9A" w:rsidRDefault="00622E9A" w:rsidP="00FE0116">
      <w:pPr>
        <w:pStyle w:val="recommendation"/>
        <w:rPr>
          <w:lang w:eastAsia="ja-JP"/>
        </w:rPr>
      </w:pPr>
      <w:r w:rsidRPr="00622E9A">
        <w:rPr>
          <w:lang w:eastAsia="ja-JP"/>
        </w:rPr>
        <w:lastRenderedPageBreak/>
        <w:t xml:space="preserve">Patients who are discharged from hospital prior to resolution of a nerve block should be </w:t>
      </w:r>
      <w:r w:rsidR="00E26F13">
        <w:rPr>
          <w:lang w:eastAsia="ja-JP"/>
        </w:rPr>
        <w:t>provided with</w:t>
      </w:r>
      <w:r w:rsidRPr="00622E9A">
        <w:rPr>
          <w:lang w:eastAsia="ja-JP"/>
        </w:rPr>
        <w:t xml:space="preserve"> written information about the expected duration of the block, who to contact should they experience any issues related to the nerve block and clear instructions regarding appropriate analgesia around the time of block resolution.</w:t>
      </w:r>
    </w:p>
    <w:p w14:paraId="31A799E9" w14:textId="7E627F6F" w:rsidR="00024783" w:rsidRDefault="00622E9A" w:rsidP="00622E9A">
      <w:pPr>
        <w:pStyle w:val="recommendation"/>
        <w:rPr>
          <w:lang w:eastAsia="ja-JP"/>
        </w:rPr>
      </w:pPr>
      <w:r w:rsidRPr="00622E9A">
        <w:rPr>
          <w:lang w:eastAsia="ja-JP"/>
        </w:rPr>
        <w:t>Departments should have clear, written guidance relating to peripheral nerve block follow</w:t>
      </w:r>
      <w:r w:rsidR="00396784">
        <w:rPr>
          <w:lang w:eastAsia="ja-JP"/>
        </w:rPr>
        <w:t xml:space="preserve"> </w:t>
      </w:r>
      <w:r w:rsidRPr="00622E9A">
        <w:rPr>
          <w:lang w:eastAsia="ja-JP"/>
        </w:rPr>
        <w:t xml:space="preserve">up and initial management of unexpected/persistent neurological dysfunction. A nationally agreed joint RA-UK/British Orthopaedic </w:t>
      </w:r>
      <w:r w:rsidR="009A6ED1">
        <w:rPr>
          <w:lang w:eastAsia="ja-JP"/>
        </w:rPr>
        <w:t>Association</w:t>
      </w:r>
      <w:r w:rsidRPr="00622E9A">
        <w:rPr>
          <w:lang w:eastAsia="ja-JP"/>
        </w:rPr>
        <w:t xml:space="preserve"> guideline is available</w:t>
      </w:r>
      <w:r w:rsidR="00926933">
        <w:rPr>
          <w:rStyle w:val="EndnoteReference"/>
          <w:lang w:eastAsia="ja-JP"/>
        </w:rPr>
        <w:endnoteReference w:id="47"/>
      </w:r>
      <w:r w:rsidRPr="00622E9A">
        <w:rPr>
          <w:lang w:eastAsia="ja-JP"/>
        </w:rPr>
        <w:t>.</w:t>
      </w:r>
    </w:p>
    <w:p w14:paraId="05C8476E" w14:textId="697AFFA7" w:rsidR="00024783" w:rsidRPr="0037126C" w:rsidRDefault="00547751" w:rsidP="00547751">
      <w:pPr>
        <w:pStyle w:val="Heading2"/>
      </w:pPr>
      <w:r>
        <w:t xml:space="preserve">7       </w:t>
      </w:r>
      <w:r w:rsidR="00A40909">
        <w:t>Training and education</w:t>
      </w:r>
      <w:r>
        <w:t xml:space="preserve"> </w:t>
      </w:r>
    </w:p>
    <w:p w14:paraId="6199D4AA" w14:textId="77777777" w:rsidR="00547751" w:rsidRPr="00547751" w:rsidRDefault="00547751" w:rsidP="00DC3965">
      <w:pPr>
        <w:pStyle w:val="ListParagraph"/>
        <w:keepNext/>
        <w:keepLines/>
        <w:numPr>
          <w:ilvl w:val="0"/>
          <w:numId w:val="4"/>
        </w:numPr>
        <w:spacing w:before="200" w:after="120"/>
        <w:outlineLvl w:val="3"/>
        <w:rPr>
          <w:rFonts w:eastAsia="MS ????"/>
          <w:b/>
          <w:bCs/>
          <w:vanish/>
          <w:sz w:val="24"/>
          <w:szCs w:val="24"/>
        </w:rPr>
      </w:pPr>
    </w:p>
    <w:p w14:paraId="714291F2" w14:textId="18BAAEB9" w:rsidR="004648F4" w:rsidRDefault="00A40909" w:rsidP="00547751">
      <w:pPr>
        <w:pStyle w:val="recommendation"/>
      </w:pPr>
      <w:r w:rsidRPr="00A40909">
        <w:t>All anaesthetists should be aware of the potential benefits and risks of regional anaesthesia and be able to discuss these options with patients where appropriate as part of an individual patient anaesthetic management plan.</w:t>
      </w:r>
    </w:p>
    <w:p w14:paraId="0BDAB7BA" w14:textId="001D89B2" w:rsidR="00A40909" w:rsidRDefault="00A40909" w:rsidP="00547751">
      <w:pPr>
        <w:pStyle w:val="recommendation"/>
      </w:pPr>
      <w:r w:rsidRPr="00A40909">
        <w:t xml:space="preserve">All anaesthetists completing the 2021 RCoA curriculum should be able to deliver a range of safe and effective central or peripheral regional anaesthetic techniques to cover the upper and lower limb, </w:t>
      </w:r>
      <w:proofErr w:type="gramStart"/>
      <w:r w:rsidRPr="00A40909">
        <w:t>chest</w:t>
      </w:r>
      <w:proofErr w:type="gramEnd"/>
      <w:r w:rsidRPr="00A40909">
        <w:t xml:space="preserve"> and abdominal wall independently</w:t>
      </w:r>
      <w:bookmarkStart w:id="19" w:name="_Ref163044503"/>
      <w:r w:rsidR="009358BF" w:rsidRPr="00DB7EFA">
        <w:rPr>
          <w:rStyle w:val="EndnoteReference"/>
        </w:rPr>
        <w:endnoteReference w:id="48"/>
      </w:r>
      <w:bookmarkEnd w:id="19"/>
      <w:r>
        <w:t>.</w:t>
      </w:r>
    </w:p>
    <w:p w14:paraId="4937AF38" w14:textId="6B922CE3" w:rsidR="00A40909" w:rsidRDefault="00A40909" w:rsidP="00547751">
      <w:pPr>
        <w:pStyle w:val="recommendation"/>
      </w:pPr>
      <w:r w:rsidRPr="00A40909">
        <w:t>Structured training in regional anaesthesia should be provided to all anaesthetists in training as well as any other anaesthetists who wish to learn any of these techniques. This should include an understanding of the relevant anatomy, physiology, pharmacology, ultrasound physics, non-technical skills and the prevention and management of complications. Part task trainers may be used to improve practical skills</w:t>
      </w:r>
      <w:r w:rsidR="006F3368">
        <w:rPr>
          <w:rStyle w:val="EndnoteReference"/>
        </w:rPr>
        <w:endnoteReference w:id="49"/>
      </w:r>
      <w:r>
        <w:t>.</w:t>
      </w:r>
    </w:p>
    <w:p w14:paraId="32341C0F" w14:textId="41038D61" w:rsidR="00A40909" w:rsidRDefault="00A40909" w:rsidP="00547751">
      <w:pPr>
        <w:pStyle w:val="recommendation"/>
      </w:pPr>
      <w:r w:rsidRPr="00A40909">
        <w:t>All anaesthetists should have access to adequate time, funding and facilities to undertake training in, and update or advance their regional anaesthesia knowledge and skills relevant to their clinical practice</w:t>
      </w:r>
      <w:r w:rsidR="00AA71B2" w:rsidRPr="00AA71B2">
        <w:rPr>
          <w:vertAlign w:val="superscript"/>
        </w:rPr>
        <w:fldChar w:fldCharType="begin"/>
      </w:r>
      <w:r w:rsidR="00AA71B2" w:rsidRPr="00AA71B2">
        <w:rPr>
          <w:vertAlign w:val="superscript"/>
        </w:rPr>
        <w:instrText xml:space="preserve"> NOTEREF _Ref163034112 \h </w:instrText>
      </w:r>
      <w:r w:rsidR="00AA71B2">
        <w:rPr>
          <w:vertAlign w:val="superscript"/>
        </w:rPr>
        <w:instrText xml:space="preserve"> \* MERGEFORMAT </w:instrText>
      </w:r>
      <w:r w:rsidR="00AA71B2" w:rsidRPr="00AA71B2">
        <w:rPr>
          <w:vertAlign w:val="superscript"/>
        </w:rPr>
      </w:r>
      <w:r w:rsidR="00AA71B2" w:rsidRPr="00AA71B2">
        <w:rPr>
          <w:vertAlign w:val="superscript"/>
        </w:rPr>
        <w:fldChar w:fldCharType="separate"/>
      </w:r>
      <w:r w:rsidR="0088690E">
        <w:rPr>
          <w:vertAlign w:val="superscript"/>
        </w:rPr>
        <w:t>2</w:t>
      </w:r>
      <w:r w:rsidR="00AA71B2" w:rsidRPr="00AA71B2">
        <w:rPr>
          <w:vertAlign w:val="superscript"/>
        </w:rPr>
        <w:fldChar w:fldCharType="end"/>
      </w:r>
      <w:r w:rsidR="00AA71B2" w:rsidRPr="00AA71B2">
        <w:rPr>
          <w:vertAlign w:val="superscript"/>
        </w:rPr>
        <w:t>,</w:t>
      </w:r>
      <w:r w:rsidR="00AA71B2" w:rsidRPr="00AA71B2">
        <w:rPr>
          <w:vertAlign w:val="superscript"/>
        </w:rPr>
        <w:fldChar w:fldCharType="begin"/>
      </w:r>
      <w:r w:rsidR="00AA71B2" w:rsidRPr="00AA71B2">
        <w:rPr>
          <w:vertAlign w:val="superscript"/>
        </w:rPr>
        <w:instrText xml:space="preserve"> NOTEREF _Ref163044652 \h </w:instrText>
      </w:r>
      <w:r w:rsidR="00AA71B2">
        <w:rPr>
          <w:vertAlign w:val="superscript"/>
        </w:rPr>
        <w:instrText xml:space="preserve"> \* MERGEFORMAT </w:instrText>
      </w:r>
      <w:r w:rsidR="00AA71B2" w:rsidRPr="00AA71B2">
        <w:rPr>
          <w:vertAlign w:val="superscript"/>
        </w:rPr>
      </w:r>
      <w:r w:rsidR="00AA71B2" w:rsidRPr="00AA71B2">
        <w:rPr>
          <w:vertAlign w:val="superscript"/>
        </w:rPr>
        <w:fldChar w:fldCharType="separate"/>
      </w:r>
      <w:r w:rsidR="0088690E">
        <w:rPr>
          <w:vertAlign w:val="superscript"/>
        </w:rPr>
        <w:t>18</w:t>
      </w:r>
      <w:r w:rsidR="00AA71B2" w:rsidRPr="00AA71B2">
        <w:rPr>
          <w:vertAlign w:val="superscript"/>
        </w:rPr>
        <w:fldChar w:fldCharType="end"/>
      </w:r>
      <w:r w:rsidRPr="00A40909">
        <w:t>.</w:t>
      </w:r>
    </w:p>
    <w:p w14:paraId="3BB5E1E8" w14:textId="49A020AA" w:rsidR="00F11D9C" w:rsidRDefault="00F11D9C" w:rsidP="00547751">
      <w:pPr>
        <w:pStyle w:val="recommendation"/>
      </w:pPr>
      <w:r>
        <w:t xml:space="preserve">Trainees should be appropriately clinically </w:t>
      </w:r>
      <w:proofErr w:type="gramStart"/>
      <w:r>
        <w:t>supervised at all times</w:t>
      </w:r>
      <w:proofErr w:type="gramEnd"/>
      <w:r>
        <w:rPr>
          <w:rStyle w:val="EndnoteReference"/>
        </w:rPr>
        <w:endnoteReference w:id="50"/>
      </w:r>
      <w:r>
        <w:t>.</w:t>
      </w:r>
    </w:p>
    <w:p w14:paraId="44E9EAEA" w14:textId="10DB5B78" w:rsidR="00A40909" w:rsidRDefault="00A40909" w:rsidP="00547751">
      <w:pPr>
        <w:pStyle w:val="recommendation"/>
      </w:pPr>
      <w:r w:rsidRPr="00A40909">
        <w:t>There should be a nominated anaesthetist responsible for training in regional anaesthesia, with adequate programmed activities allocated for these responsibilities.</w:t>
      </w:r>
    </w:p>
    <w:p w14:paraId="1819B8E2" w14:textId="38A5C668" w:rsidR="00A40909" w:rsidRDefault="00A40909" w:rsidP="00547751">
      <w:pPr>
        <w:pStyle w:val="recommendation"/>
      </w:pPr>
      <w:r w:rsidRPr="00A40909">
        <w:t>Anaesthetists with a specific interest in regional anaesthesia should deliver regular appropriate theatre sessions to ensure the maintenance of their skills and experience.</w:t>
      </w:r>
    </w:p>
    <w:p w14:paraId="44F8C68B" w14:textId="70AD06D9" w:rsidR="00A40909" w:rsidRDefault="00A40909" w:rsidP="00547751">
      <w:pPr>
        <w:pStyle w:val="recommendation"/>
      </w:pPr>
      <w:r w:rsidRPr="00A40909">
        <w:t>All anaesthetists and the wider theatre team should be aware of the serious complications of regional anaesthesia including wrong sided block</w:t>
      </w:r>
      <w:r w:rsidR="00F11D9C">
        <w:t xml:space="preserve"> and local anaesthetic systemic toxicity</w:t>
      </w:r>
      <w:r w:rsidRPr="00A40909">
        <w:t xml:space="preserve">. Anaesthetists should help organise and participate in regular multidisciplinary training aimed at reducing risk, </w:t>
      </w:r>
      <w:proofErr w:type="gramStart"/>
      <w:r w:rsidRPr="00A40909">
        <w:t>recognition</w:t>
      </w:r>
      <w:proofErr w:type="gramEnd"/>
      <w:r w:rsidRPr="00A40909">
        <w:t xml:space="preserve"> and management.</w:t>
      </w:r>
    </w:p>
    <w:p w14:paraId="6EAABBB4" w14:textId="6898FB0F" w:rsidR="00A40909" w:rsidRDefault="00A40909" w:rsidP="00547751">
      <w:pPr>
        <w:pStyle w:val="recommendation"/>
      </w:pPr>
      <w:r w:rsidRPr="00A40909">
        <w:t>Staff in the recovery area and in the wards who monitor and care for patients after surgery with epidural infusions, spinal anaesthesia, intrathecal opioids and single shot or continuous nerve blocks should have received up to date training in caring for such patients</w:t>
      </w:r>
      <w:r w:rsidR="002F327F">
        <w:rPr>
          <w:rStyle w:val="EndnoteReference"/>
        </w:rPr>
        <w:endnoteReference w:id="51"/>
      </w:r>
      <w:r w:rsidRPr="00A40909">
        <w:t>.</w:t>
      </w:r>
    </w:p>
    <w:p w14:paraId="2E5F6BC8" w14:textId="4427B7F3" w:rsidR="00A40909" w:rsidRDefault="00A40909" w:rsidP="00547751">
      <w:pPr>
        <w:pStyle w:val="recommendation"/>
      </w:pPr>
      <w:r w:rsidRPr="00A40909">
        <w:t xml:space="preserve">Staff expected to </w:t>
      </w:r>
      <w:r w:rsidR="00396784">
        <w:t xml:space="preserve">provide medication to </w:t>
      </w:r>
      <w:r w:rsidRPr="00A40909">
        <w:t xml:space="preserve">top up epidurals and continuous nerve </w:t>
      </w:r>
      <w:r w:rsidR="00396784">
        <w:t xml:space="preserve">infusions </w:t>
      </w:r>
      <w:r w:rsidRPr="00A40909">
        <w:t xml:space="preserve">should be trained in </w:t>
      </w:r>
      <w:r w:rsidR="00396784">
        <w:t xml:space="preserve">the </w:t>
      </w:r>
      <w:r w:rsidRPr="00A40909">
        <w:t>administration of such medications.</w:t>
      </w:r>
    </w:p>
    <w:p w14:paraId="28D1A4B9" w14:textId="77777777" w:rsidR="00B4380E" w:rsidRDefault="00B4380E" w:rsidP="00B4380E">
      <w:pPr>
        <w:pStyle w:val="Heading2"/>
      </w:pPr>
      <w:r>
        <w:t>8       Areas of special requirement</w:t>
      </w:r>
    </w:p>
    <w:p w14:paraId="3A195FF5" w14:textId="6D52F69C" w:rsidR="00B4380E" w:rsidRPr="004319F8" w:rsidRDefault="00B4380E" w:rsidP="00C510D7">
      <w:pPr>
        <w:pStyle w:val="Heading3"/>
        <w:rPr>
          <w:lang w:eastAsia="ja-JP"/>
        </w:rPr>
      </w:pPr>
      <w:r>
        <w:rPr>
          <w:lang w:eastAsia="ja-JP"/>
        </w:rPr>
        <w:t>Paediatric patients</w:t>
      </w:r>
    </w:p>
    <w:p w14:paraId="7A830D8C" w14:textId="77777777" w:rsidR="00B4380E" w:rsidRPr="004319F8" w:rsidRDefault="00B4380E" w:rsidP="00DC3965">
      <w:pPr>
        <w:pStyle w:val="ListParagraph"/>
        <w:keepNext/>
        <w:keepLines/>
        <w:numPr>
          <w:ilvl w:val="0"/>
          <w:numId w:val="4"/>
        </w:numPr>
        <w:spacing w:before="200" w:after="120"/>
        <w:outlineLvl w:val="3"/>
        <w:rPr>
          <w:rFonts w:eastAsia="MS ????"/>
          <w:b/>
          <w:bCs/>
          <w:vanish/>
          <w:sz w:val="24"/>
          <w:szCs w:val="24"/>
          <w:lang w:eastAsia="ja-JP"/>
        </w:rPr>
      </w:pPr>
    </w:p>
    <w:p w14:paraId="6D10D71D" w14:textId="6397516D" w:rsidR="00B4380E" w:rsidRPr="00B4380E" w:rsidRDefault="00B4380E" w:rsidP="00A568B8">
      <w:pPr>
        <w:pStyle w:val="recommendation"/>
        <w:rPr>
          <w:rStyle w:val="None"/>
          <w:rFonts w:cs="Times New Roman"/>
          <w:b/>
          <w:bCs/>
          <w:kern w:val="2"/>
          <w:szCs w:val="20"/>
          <w:lang w:val="en-GB"/>
          <w14:ligatures w14:val="standardContextual"/>
        </w:rPr>
      </w:pPr>
      <w:r w:rsidRPr="00B4380E">
        <w:rPr>
          <w:rStyle w:val="None"/>
        </w:rPr>
        <w:t xml:space="preserve">Anaesthetists and other health professionals who care for children having regional anaesthesia techniques, should have received appropriate training and </w:t>
      </w:r>
      <w:r w:rsidR="00C510D7">
        <w:rPr>
          <w:rStyle w:val="None"/>
        </w:rPr>
        <w:t>should</w:t>
      </w:r>
      <w:r w:rsidR="00C510D7" w:rsidRPr="00B4380E">
        <w:rPr>
          <w:rStyle w:val="None"/>
        </w:rPr>
        <w:t xml:space="preserve"> </w:t>
      </w:r>
      <w:r w:rsidRPr="00B4380E">
        <w:rPr>
          <w:rStyle w:val="None"/>
        </w:rPr>
        <w:t>ensure that at annual appraisals</w:t>
      </w:r>
      <w:r w:rsidR="009A6ED1">
        <w:rPr>
          <w:rStyle w:val="None"/>
        </w:rPr>
        <w:t>,</w:t>
      </w:r>
      <w:r w:rsidRPr="00B4380E">
        <w:rPr>
          <w:rStyle w:val="None"/>
        </w:rPr>
        <w:t xml:space="preserve"> competence is deemed adequate</w:t>
      </w:r>
      <w:r w:rsidR="00E54C4F" w:rsidRPr="00DB7EFA">
        <w:rPr>
          <w:rStyle w:val="None"/>
          <w:vertAlign w:val="superscript"/>
        </w:rPr>
        <w:t>,</w:t>
      </w:r>
      <w:r w:rsidR="009358BF">
        <w:rPr>
          <w:rStyle w:val="None"/>
          <w:vertAlign w:val="superscript"/>
        </w:rPr>
        <w:fldChar w:fldCharType="begin"/>
      </w:r>
      <w:r w:rsidR="009358BF">
        <w:rPr>
          <w:rStyle w:val="None"/>
          <w:vertAlign w:val="superscript"/>
        </w:rPr>
        <w:instrText xml:space="preserve"> NOTEREF _Ref163044503 \h </w:instrText>
      </w:r>
      <w:r w:rsidR="009358BF">
        <w:rPr>
          <w:rStyle w:val="None"/>
          <w:vertAlign w:val="superscript"/>
        </w:rPr>
      </w:r>
      <w:r w:rsidR="009358BF">
        <w:rPr>
          <w:rStyle w:val="None"/>
          <w:vertAlign w:val="superscript"/>
        </w:rPr>
        <w:fldChar w:fldCharType="separate"/>
      </w:r>
      <w:r w:rsidR="0088690E">
        <w:rPr>
          <w:rStyle w:val="None"/>
          <w:vertAlign w:val="superscript"/>
        </w:rPr>
        <w:t>48</w:t>
      </w:r>
      <w:r w:rsidR="009358BF">
        <w:rPr>
          <w:rStyle w:val="None"/>
          <w:vertAlign w:val="superscript"/>
        </w:rPr>
        <w:fldChar w:fldCharType="end"/>
      </w:r>
      <w:r w:rsidR="009358BF">
        <w:rPr>
          <w:rStyle w:val="None"/>
          <w:vertAlign w:val="superscript"/>
        </w:rPr>
        <w:t>,</w:t>
      </w:r>
      <w:r w:rsidR="00E54C4F" w:rsidRPr="00DB7EFA">
        <w:rPr>
          <w:rStyle w:val="EndnoteReference"/>
        </w:rPr>
        <w:endnoteReference w:id="52"/>
      </w:r>
      <w:r w:rsidRPr="00DB7EFA">
        <w:rPr>
          <w:rStyle w:val="None"/>
          <w:vertAlign w:val="superscript"/>
        </w:rPr>
        <w:t>.</w:t>
      </w:r>
    </w:p>
    <w:p w14:paraId="5338EDA0" w14:textId="532C7568" w:rsidR="00B4380E" w:rsidRPr="00B4380E" w:rsidRDefault="00B4380E" w:rsidP="00A568B8">
      <w:pPr>
        <w:pStyle w:val="recommendation"/>
        <w:rPr>
          <w:rFonts w:cs="Times New Roman"/>
          <w:b/>
          <w:bCs/>
          <w:kern w:val="2"/>
          <w:szCs w:val="20"/>
          <w:lang w:val="en-GB"/>
          <w14:ligatures w14:val="standardContextual"/>
        </w:rPr>
      </w:pPr>
      <w:r w:rsidRPr="00B4380E">
        <w:rPr>
          <w:rFonts w:cs="Times New Roman"/>
          <w:kern w:val="2"/>
          <w:szCs w:val="20"/>
          <w:lang w:val="en-GB"/>
          <w14:ligatures w14:val="standardContextual"/>
        </w:rPr>
        <w:lastRenderedPageBreak/>
        <w:t>Equipment suitable for each age group should be available and checked.</w:t>
      </w:r>
    </w:p>
    <w:p w14:paraId="2C5A87ED" w14:textId="046E6307" w:rsidR="0026161E" w:rsidRDefault="0026161E" w:rsidP="0026161E">
      <w:pPr>
        <w:pStyle w:val="recommendation"/>
        <w:rPr>
          <w:rFonts w:cs="Times New Roman"/>
          <w:kern w:val="2"/>
          <w:szCs w:val="20"/>
          <w:lang w:val="en-GB"/>
          <w14:ligatures w14:val="standardContextual"/>
        </w:rPr>
      </w:pPr>
      <w:r>
        <w:rPr>
          <w:rFonts w:cs="Times New Roman"/>
          <w:kern w:val="2"/>
          <w:szCs w:val="20"/>
          <w:lang w:val="en-GB"/>
          <w14:ligatures w14:val="standardContextual"/>
        </w:rPr>
        <w:t xml:space="preserve">Regional anaesthesia should be considered in the pre-operative preparation of patients. </w:t>
      </w:r>
      <w:r w:rsidRPr="00B4380E">
        <w:rPr>
          <w:rFonts w:cs="Times New Roman"/>
          <w:kern w:val="2"/>
          <w:szCs w:val="20"/>
          <w:lang w:val="en-GB"/>
          <w14:ligatures w14:val="standardContextual"/>
        </w:rPr>
        <w:t xml:space="preserve">Families and patients should be provided with information about the benefits, risks, and side effects of </w:t>
      </w:r>
      <w:r>
        <w:rPr>
          <w:rFonts w:cs="Times New Roman"/>
          <w:kern w:val="2"/>
          <w:szCs w:val="20"/>
          <w:lang w:val="en-GB"/>
          <w14:ligatures w14:val="standardContextual"/>
        </w:rPr>
        <w:t>RA</w:t>
      </w:r>
      <w:r w:rsidRPr="00B4380E">
        <w:rPr>
          <w:rFonts w:cs="Times New Roman"/>
          <w:kern w:val="2"/>
          <w:szCs w:val="20"/>
          <w:lang w:val="en-GB"/>
          <w14:ligatures w14:val="standardContextual"/>
        </w:rPr>
        <w:t xml:space="preserve"> techniques in a way </w:t>
      </w:r>
      <w:r>
        <w:rPr>
          <w:rFonts w:cs="Times New Roman"/>
          <w:kern w:val="2"/>
          <w:szCs w:val="20"/>
          <w:lang w:val="en-GB"/>
          <w14:ligatures w14:val="standardContextual"/>
        </w:rPr>
        <w:t xml:space="preserve">that </w:t>
      </w:r>
      <w:r w:rsidRPr="00B4380E">
        <w:rPr>
          <w:rFonts w:cs="Times New Roman"/>
          <w:kern w:val="2"/>
          <w:szCs w:val="20"/>
          <w:lang w:val="en-GB"/>
          <w14:ligatures w14:val="standardContextual"/>
        </w:rPr>
        <w:t xml:space="preserve">they understand. This includes </w:t>
      </w:r>
      <w:r>
        <w:rPr>
          <w:rFonts w:cs="Times New Roman"/>
          <w:kern w:val="2"/>
          <w:szCs w:val="20"/>
          <w:lang w:val="en-GB"/>
          <w14:ligatures w14:val="standardContextual"/>
        </w:rPr>
        <w:t xml:space="preserve">verbal and written </w:t>
      </w:r>
      <w:r w:rsidRPr="00B4380E">
        <w:rPr>
          <w:rFonts w:cs="Times New Roman"/>
          <w:kern w:val="2"/>
          <w:szCs w:val="20"/>
          <w:lang w:val="en-GB"/>
          <w14:ligatures w14:val="standardContextual"/>
        </w:rPr>
        <w:t xml:space="preserve">instructions on how to manage pain when the block wears </w:t>
      </w:r>
      <w:r w:rsidR="000D5B19">
        <w:rPr>
          <w:rFonts w:cs="Times New Roman"/>
          <w:kern w:val="2"/>
          <w:szCs w:val="20"/>
          <w:lang w:val="en-GB"/>
          <w14:ligatures w14:val="standardContextual"/>
        </w:rPr>
        <w:t>off</w:t>
      </w:r>
      <w:r>
        <w:rPr>
          <w:rFonts w:cs="Times New Roman"/>
          <w:kern w:val="2"/>
          <w:szCs w:val="20"/>
          <w:lang w:val="en-GB"/>
          <w14:ligatures w14:val="standardContextual"/>
        </w:rPr>
        <w:t xml:space="preserve"> and </w:t>
      </w:r>
      <w:r>
        <w:t>what to do and who to contact in the event of a problem or concern</w:t>
      </w:r>
      <w:r w:rsidRPr="00B4380E">
        <w:rPr>
          <w:rFonts w:cs="Times New Roman"/>
          <w:kern w:val="2"/>
          <w:szCs w:val="20"/>
          <w:lang w:val="en-GB"/>
          <w14:ligatures w14:val="standardContextual"/>
        </w:rPr>
        <w:t xml:space="preserve"> </w:t>
      </w:r>
      <w:r>
        <w:rPr>
          <w:rFonts w:cs="Times New Roman"/>
          <w:kern w:val="2"/>
          <w:szCs w:val="20"/>
          <w:lang w:val="en-GB"/>
          <w14:ligatures w14:val="standardContextual"/>
        </w:rPr>
        <w:t>when patient is discharged</w:t>
      </w:r>
      <w:r w:rsidR="00CC6040">
        <w:rPr>
          <w:rStyle w:val="EndnoteReference"/>
          <w:rFonts w:cs="Times New Roman"/>
          <w:kern w:val="2"/>
          <w:szCs w:val="20"/>
          <w:lang w:val="en-GB"/>
          <w14:ligatures w14:val="standardContextual"/>
        </w:rPr>
        <w:endnoteReference w:id="53"/>
      </w:r>
      <w:r w:rsidR="00CC6040">
        <w:rPr>
          <w:rFonts w:cs="Times New Roman"/>
          <w:kern w:val="2"/>
          <w:szCs w:val="20"/>
          <w:lang w:val="en-GB"/>
          <w14:ligatures w14:val="standardContextual"/>
        </w:rPr>
        <w:t>,</w:t>
      </w:r>
      <w:bookmarkStart w:id="20" w:name="_Ref160705338"/>
      <w:r w:rsidR="00CC6040">
        <w:rPr>
          <w:rStyle w:val="EndnoteReference"/>
          <w:rFonts w:cs="Times New Roman"/>
          <w:kern w:val="2"/>
          <w:szCs w:val="20"/>
          <w:lang w:val="en-GB"/>
          <w14:ligatures w14:val="standardContextual"/>
        </w:rPr>
        <w:endnoteReference w:id="54"/>
      </w:r>
      <w:bookmarkEnd w:id="20"/>
      <w:r>
        <w:rPr>
          <w:rFonts w:cs="Times New Roman"/>
          <w:kern w:val="2"/>
          <w:szCs w:val="20"/>
          <w:lang w:val="en-GB"/>
          <w14:ligatures w14:val="standardContextual"/>
        </w:rPr>
        <w:t xml:space="preserve">. </w:t>
      </w:r>
    </w:p>
    <w:p w14:paraId="50EF87C8" w14:textId="018DDBEB" w:rsidR="00E77A03" w:rsidRDefault="00333915" w:rsidP="00A568B8">
      <w:pPr>
        <w:pStyle w:val="recommendation"/>
        <w:rPr>
          <w:rFonts w:cs="Times New Roman"/>
          <w:kern w:val="2"/>
          <w:szCs w:val="20"/>
          <w:lang w:val="en-GB"/>
          <w14:ligatures w14:val="standardContextual"/>
        </w:rPr>
      </w:pPr>
      <w:r>
        <w:rPr>
          <w:rFonts w:cs="Times New Roman"/>
          <w:kern w:val="2"/>
          <w:szCs w:val="20"/>
          <w:lang w:val="en-GB"/>
          <w14:ligatures w14:val="standardContextual"/>
        </w:rPr>
        <w:t>Hospitals should have p</w:t>
      </w:r>
      <w:r w:rsidR="00E77A03" w:rsidRPr="00E77A03">
        <w:rPr>
          <w:rFonts w:cs="Times New Roman"/>
          <w:kern w:val="2"/>
          <w:szCs w:val="20"/>
          <w:lang w:val="en-GB"/>
          <w14:ligatures w14:val="standardContextual"/>
        </w:rPr>
        <w:t>athways</w:t>
      </w:r>
      <w:r>
        <w:rPr>
          <w:rFonts w:cs="Times New Roman"/>
          <w:kern w:val="2"/>
          <w:szCs w:val="20"/>
          <w:lang w:val="en-GB"/>
          <w14:ligatures w14:val="standardContextual"/>
        </w:rPr>
        <w:t xml:space="preserve"> in place</w:t>
      </w:r>
      <w:r w:rsidR="00E77A03" w:rsidRPr="00E77A03">
        <w:rPr>
          <w:rFonts w:cs="Times New Roman"/>
          <w:kern w:val="2"/>
          <w:szCs w:val="20"/>
          <w:lang w:val="en-GB"/>
          <w14:ligatures w14:val="standardContextual"/>
        </w:rPr>
        <w:t xml:space="preserve"> for major surgery that include the use of regional techniques.</w:t>
      </w:r>
    </w:p>
    <w:p w14:paraId="349F6B5B" w14:textId="23C2CA0A" w:rsidR="00E77A03" w:rsidRDefault="000D5B19" w:rsidP="00A568B8">
      <w:pPr>
        <w:pStyle w:val="recommendation"/>
        <w:rPr>
          <w:rFonts w:cs="Times New Roman"/>
          <w:kern w:val="2"/>
          <w:szCs w:val="20"/>
          <w:lang w:val="en-GB"/>
          <w14:ligatures w14:val="standardContextual"/>
        </w:rPr>
      </w:pPr>
      <w:r>
        <w:rPr>
          <w:rFonts w:cs="Times New Roman"/>
          <w:kern w:val="2"/>
          <w:szCs w:val="20"/>
          <w:lang w:val="en-GB"/>
          <w14:ligatures w14:val="standardContextual"/>
        </w:rPr>
        <w:t>Ultrasound equipment should be available, as its</w:t>
      </w:r>
      <w:r w:rsidR="00E77A03" w:rsidRPr="00E77A03">
        <w:rPr>
          <w:rFonts w:cs="Times New Roman"/>
          <w:kern w:val="2"/>
          <w:szCs w:val="20"/>
          <w:lang w:val="en-GB"/>
          <w14:ligatures w14:val="standardContextual"/>
        </w:rPr>
        <w:t xml:space="preserve"> use to guide central (</w:t>
      </w:r>
      <w:proofErr w:type="gramStart"/>
      <w:r w:rsidR="00E77A03" w:rsidRPr="00E77A03">
        <w:rPr>
          <w:rFonts w:cs="Times New Roman"/>
          <w:kern w:val="2"/>
          <w:szCs w:val="20"/>
          <w:lang w:val="en-GB"/>
          <w14:ligatures w14:val="standardContextual"/>
        </w:rPr>
        <w:t>e.g.</w:t>
      </w:r>
      <w:proofErr w:type="gramEnd"/>
      <w:r w:rsidR="00E77A03" w:rsidRPr="00E77A03">
        <w:rPr>
          <w:rFonts w:cs="Times New Roman"/>
          <w:kern w:val="2"/>
          <w:szCs w:val="20"/>
          <w:lang w:val="en-GB"/>
          <w14:ligatures w14:val="standardContextual"/>
        </w:rPr>
        <w:t xml:space="preserve"> caudal) and peripheral blocks is encouraged to increase efficacy and safety. This is particularly relevant in younger children, </w:t>
      </w:r>
      <w:proofErr w:type="gramStart"/>
      <w:r w:rsidR="00E77A03" w:rsidRPr="00E77A03">
        <w:rPr>
          <w:rFonts w:cs="Times New Roman"/>
          <w:kern w:val="2"/>
          <w:szCs w:val="20"/>
          <w:lang w:val="en-GB"/>
          <w14:ligatures w14:val="standardContextual"/>
        </w:rPr>
        <w:t>infants</w:t>
      </w:r>
      <w:proofErr w:type="gramEnd"/>
      <w:r w:rsidR="00E77A03" w:rsidRPr="00E77A03">
        <w:rPr>
          <w:rFonts w:cs="Times New Roman"/>
          <w:kern w:val="2"/>
          <w:szCs w:val="20"/>
          <w:lang w:val="en-GB"/>
          <w14:ligatures w14:val="standardContextual"/>
        </w:rPr>
        <w:t xml:space="preserve"> and neonates where the effect size is inversely proportional to the patient size</w:t>
      </w:r>
      <w:r w:rsidR="00A15F8C" w:rsidRPr="00A15F8C">
        <w:rPr>
          <w:rFonts w:cs="Times New Roman"/>
          <w:kern w:val="2"/>
          <w:szCs w:val="20"/>
          <w:vertAlign w:val="superscript"/>
          <w:lang w:val="en-GB"/>
          <w14:ligatures w14:val="standardContextual"/>
        </w:rPr>
        <w:fldChar w:fldCharType="begin"/>
      </w:r>
      <w:r w:rsidR="00A15F8C" w:rsidRPr="00A15F8C">
        <w:rPr>
          <w:rFonts w:cs="Times New Roman"/>
          <w:kern w:val="2"/>
          <w:szCs w:val="20"/>
          <w:vertAlign w:val="superscript"/>
          <w:lang w:val="en-GB"/>
          <w14:ligatures w14:val="standardContextual"/>
        </w:rPr>
        <w:instrText xml:space="preserve"> NOTEREF _Ref163047428 \h </w:instrText>
      </w:r>
      <w:r w:rsidR="00A15F8C">
        <w:rPr>
          <w:rFonts w:cs="Times New Roman"/>
          <w:kern w:val="2"/>
          <w:szCs w:val="20"/>
          <w:vertAlign w:val="superscript"/>
          <w:lang w:val="en-GB"/>
          <w14:ligatures w14:val="standardContextual"/>
        </w:rPr>
        <w:instrText xml:space="preserve"> \* MERGEFORMAT </w:instrText>
      </w:r>
      <w:r w:rsidR="00A15F8C" w:rsidRPr="00A15F8C">
        <w:rPr>
          <w:rFonts w:cs="Times New Roman"/>
          <w:kern w:val="2"/>
          <w:szCs w:val="20"/>
          <w:vertAlign w:val="superscript"/>
          <w:lang w:val="en-GB"/>
          <w14:ligatures w14:val="standardContextual"/>
        </w:rPr>
      </w:r>
      <w:r w:rsidR="00A15F8C" w:rsidRPr="00A15F8C">
        <w:rPr>
          <w:rFonts w:cs="Times New Roman"/>
          <w:kern w:val="2"/>
          <w:szCs w:val="20"/>
          <w:vertAlign w:val="superscript"/>
          <w:lang w:val="en-GB"/>
          <w14:ligatures w14:val="standardContextual"/>
        </w:rPr>
        <w:fldChar w:fldCharType="separate"/>
      </w:r>
      <w:r w:rsidR="0088690E">
        <w:rPr>
          <w:rFonts w:cs="Times New Roman"/>
          <w:kern w:val="2"/>
          <w:szCs w:val="20"/>
          <w:vertAlign w:val="superscript"/>
          <w:lang w:val="en-GB"/>
          <w14:ligatures w14:val="standardContextual"/>
        </w:rPr>
        <w:t>5</w:t>
      </w:r>
      <w:r w:rsidR="00A15F8C" w:rsidRPr="00A15F8C">
        <w:rPr>
          <w:rFonts w:cs="Times New Roman"/>
          <w:kern w:val="2"/>
          <w:szCs w:val="20"/>
          <w:vertAlign w:val="superscript"/>
          <w:lang w:val="en-GB"/>
          <w14:ligatures w14:val="standardContextual"/>
        </w:rPr>
        <w:fldChar w:fldCharType="end"/>
      </w:r>
      <w:r w:rsidR="00A15F8C" w:rsidRPr="00E77A03">
        <w:rPr>
          <w:rFonts w:cs="Times New Roman"/>
          <w:kern w:val="2"/>
          <w:szCs w:val="20"/>
          <w:lang w:val="en-GB"/>
          <w14:ligatures w14:val="standardContextual"/>
        </w:rPr>
        <w:t>.</w:t>
      </w:r>
    </w:p>
    <w:p w14:paraId="3728F909" w14:textId="4229BCFC" w:rsidR="00E77A03" w:rsidRDefault="00333915" w:rsidP="00A568B8">
      <w:pPr>
        <w:pStyle w:val="recommendation"/>
        <w:rPr>
          <w:rFonts w:cs="Times New Roman"/>
          <w:kern w:val="2"/>
          <w:szCs w:val="20"/>
          <w:lang w:val="en-GB"/>
          <w14:ligatures w14:val="standardContextual"/>
        </w:rPr>
      </w:pPr>
      <w:r>
        <w:rPr>
          <w:rFonts w:cs="Times New Roman"/>
          <w:kern w:val="2"/>
          <w:szCs w:val="20"/>
          <w:lang w:val="en-GB"/>
          <w14:ligatures w14:val="standardContextual"/>
        </w:rPr>
        <w:t>Processes</w:t>
      </w:r>
      <w:r w:rsidRPr="00E77A03">
        <w:rPr>
          <w:rFonts w:cs="Times New Roman"/>
          <w:kern w:val="2"/>
          <w:szCs w:val="20"/>
          <w:lang w:val="en-GB"/>
          <w14:ligatures w14:val="standardContextual"/>
        </w:rPr>
        <w:t xml:space="preserve"> </w:t>
      </w:r>
      <w:r w:rsidR="00E77A03" w:rsidRPr="00E77A03">
        <w:rPr>
          <w:rFonts w:cs="Times New Roman"/>
          <w:kern w:val="2"/>
          <w:szCs w:val="20"/>
          <w:lang w:val="en-GB"/>
          <w14:ligatures w14:val="standardContextual"/>
        </w:rPr>
        <w:t xml:space="preserve">should be recognised that the PREP STOP BLOCK moment will likely occur with the patient under general anaesthesia and therefore the ability to confirm with the patient at this point will be lost; ensuring this SOP is performed correctly will help to reduce the risk of </w:t>
      </w:r>
      <w:r w:rsidR="002F327F">
        <w:rPr>
          <w:rFonts w:cs="Times New Roman"/>
          <w:kern w:val="2"/>
          <w:szCs w:val="20"/>
          <w:lang w:val="en-GB"/>
          <w14:ligatures w14:val="standardContextual"/>
        </w:rPr>
        <w:t>wrong sided block</w:t>
      </w:r>
      <w:r w:rsidR="00E77A03" w:rsidRPr="00E77A03">
        <w:rPr>
          <w:rFonts w:cs="Times New Roman"/>
          <w:kern w:val="2"/>
          <w:szCs w:val="20"/>
          <w:lang w:val="en-GB"/>
          <w14:ligatures w14:val="standardContextual"/>
        </w:rPr>
        <w:t>.</w:t>
      </w:r>
    </w:p>
    <w:p w14:paraId="64031A2F" w14:textId="26876632" w:rsidR="00E77A03" w:rsidRDefault="00E77A03" w:rsidP="00A568B8">
      <w:pPr>
        <w:pStyle w:val="recommendation"/>
        <w:rPr>
          <w:rFonts w:cs="Times New Roman"/>
          <w:kern w:val="2"/>
          <w:szCs w:val="20"/>
          <w:lang w:val="en-GB"/>
          <w14:ligatures w14:val="standardContextual"/>
        </w:rPr>
      </w:pPr>
      <w:r w:rsidRPr="00E77A03">
        <w:rPr>
          <w:rFonts w:cs="Times New Roman"/>
          <w:kern w:val="2"/>
          <w:szCs w:val="20"/>
          <w:lang w:val="en-GB"/>
          <w14:ligatures w14:val="standardContextual"/>
        </w:rPr>
        <w:t>Guidelines relating to the appropriate maximum doses of local anaesthetic should be considered. It should be recognised that infants and neonates are at increased risk of LAST and therefore dose recommendations should be strictly adhered to</w:t>
      </w:r>
      <w:r w:rsidR="00A15F8C" w:rsidRPr="00A15F8C">
        <w:rPr>
          <w:rFonts w:cs="Times New Roman"/>
          <w:kern w:val="2"/>
          <w:szCs w:val="20"/>
          <w:vertAlign w:val="superscript"/>
          <w:lang w:val="en-GB"/>
          <w14:ligatures w14:val="standardContextual"/>
        </w:rPr>
        <w:fldChar w:fldCharType="begin"/>
      </w:r>
      <w:r w:rsidR="00A15F8C" w:rsidRPr="00A15F8C">
        <w:rPr>
          <w:rFonts w:cs="Times New Roman"/>
          <w:kern w:val="2"/>
          <w:szCs w:val="20"/>
          <w:vertAlign w:val="superscript"/>
          <w:lang w:val="en-GB"/>
          <w14:ligatures w14:val="standardContextual"/>
        </w:rPr>
        <w:instrText xml:space="preserve"> NOTEREF _Ref163047268 \h </w:instrText>
      </w:r>
      <w:r w:rsidR="00A15F8C">
        <w:rPr>
          <w:rFonts w:cs="Times New Roman"/>
          <w:kern w:val="2"/>
          <w:szCs w:val="20"/>
          <w:vertAlign w:val="superscript"/>
          <w:lang w:val="en-GB"/>
          <w14:ligatures w14:val="standardContextual"/>
        </w:rPr>
        <w:instrText xml:space="preserve"> \* MERGEFORMAT </w:instrText>
      </w:r>
      <w:r w:rsidR="00A15F8C" w:rsidRPr="00A15F8C">
        <w:rPr>
          <w:rFonts w:cs="Times New Roman"/>
          <w:kern w:val="2"/>
          <w:szCs w:val="20"/>
          <w:vertAlign w:val="superscript"/>
          <w:lang w:val="en-GB"/>
          <w14:ligatures w14:val="standardContextual"/>
        </w:rPr>
      </w:r>
      <w:r w:rsidR="00A15F8C" w:rsidRPr="00A15F8C">
        <w:rPr>
          <w:rFonts w:cs="Times New Roman"/>
          <w:kern w:val="2"/>
          <w:szCs w:val="20"/>
          <w:vertAlign w:val="superscript"/>
          <w:lang w:val="en-GB"/>
          <w14:ligatures w14:val="standardContextual"/>
        </w:rPr>
        <w:fldChar w:fldCharType="separate"/>
      </w:r>
      <w:r w:rsidR="0088690E">
        <w:rPr>
          <w:rFonts w:cs="Times New Roman"/>
          <w:kern w:val="2"/>
          <w:szCs w:val="20"/>
          <w:vertAlign w:val="superscript"/>
          <w:lang w:val="en-GB"/>
          <w14:ligatures w14:val="standardContextual"/>
        </w:rPr>
        <w:t>27</w:t>
      </w:r>
      <w:r w:rsidR="00A15F8C" w:rsidRPr="00A15F8C">
        <w:rPr>
          <w:rFonts w:cs="Times New Roman"/>
          <w:kern w:val="2"/>
          <w:szCs w:val="20"/>
          <w:vertAlign w:val="superscript"/>
          <w:lang w:val="en-GB"/>
          <w14:ligatures w14:val="standardContextual"/>
        </w:rPr>
        <w:fldChar w:fldCharType="end"/>
      </w:r>
      <w:r w:rsidRPr="00E77A03">
        <w:rPr>
          <w:rFonts w:cs="Times New Roman"/>
          <w:kern w:val="2"/>
          <w:szCs w:val="20"/>
          <w:lang w:val="en-GB"/>
          <w14:ligatures w14:val="standardContextual"/>
        </w:rPr>
        <w:t>.</w:t>
      </w:r>
    </w:p>
    <w:p w14:paraId="53EE5E5A" w14:textId="26885DCB" w:rsidR="00E77A03" w:rsidRDefault="00E77A03" w:rsidP="00A568B8">
      <w:pPr>
        <w:pStyle w:val="recommendation"/>
        <w:rPr>
          <w:rFonts w:cs="Times New Roman"/>
          <w:kern w:val="2"/>
          <w:szCs w:val="20"/>
          <w:lang w:val="en-GB"/>
          <w14:ligatures w14:val="standardContextual"/>
        </w:rPr>
      </w:pPr>
      <w:r w:rsidRPr="00E77A03">
        <w:rPr>
          <w:rFonts w:cs="Times New Roman"/>
          <w:kern w:val="2"/>
          <w:szCs w:val="20"/>
          <w:lang w:val="en-GB"/>
          <w14:ligatures w14:val="standardContextual"/>
        </w:rPr>
        <w:t>Staff managing LA infusions (peripheral nerve infusions or epidural infusions) should be appropriately trained in the recognition and management of LAST. The risk of LAST associated with infusions is increased in younger patients and therefore the duration of LA infusions should be considered to reduce this risk.</w:t>
      </w:r>
    </w:p>
    <w:p w14:paraId="5EC78CBD" w14:textId="5F787934" w:rsidR="00E77A03" w:rsidRDefault="00E77A03" w:rsidP="00A568B8">
      <w:pPr>
        <w:pStyle w:val="recommendation"/>
        <w:rPr>
          <w:rFonts w:cs="Times New Roman"/>
          <w:kern w:val="2"/>
          <w:szCs w:val="20"/>
          <w:lang w:val="en-GB"/>
          <w14:ligatures w14:val="standardContextual"/>
        </w:rPr>
      </w:pPr>
      <w:r w:rsidRPr="00E77A03">
        <w:rPr>
          <w:rFonts w:cs="Times New Roman"/>
          <w:kern w:val="2"/>
          <w:szCs w:val="20"/>
          <w:lang w:val="en-GB"/>
          <w14:ligatures w14:val="standardContextual"/>
        </w:rPr>
        <w:t xml:space="preserve">LA boluses </w:t>
      </w:r>
      <w:proofErr w:type="gramStart"/>
      <w:r w:rsidRPr="00E77A03">
        <w:rPr>
          <w:rFonts w:cs="Times New Roman"/>
          <w:kern w:val="2"/>
          <w:szCs w:val="20"/>
          <w:lang w:val="en-GB"/>
          <w14:ligatures w14:val="standardContextual"/>
        </w:rPr>
        <w:t>e.g.</w:t>
      </w:r>
      <w:proofErr w:type="gramEnd"/>
      <w:r w:rsidRPr="00E77A03">
        <w:rPr>
          <w:rFonts w:cs="Times New Roman"/>
          <w:kern w:val="2"/>
          <w:szCs w:val="20"/>
          <w:lang w:val="en-GB"/>
          <w14:ligatures w14:val="standardContextual"/>
        </w:rPr>
        <w:t xml:space="preserve"> epidural top ups, should be performed by appropriately </w:t>
      </w:r>
      <w:r>
        <w:rPr>
          <w:rFonts w:cs="Times New Roman"/>
          <w:kern w:val="2"/>
          <w:szCs w:val="20"/>
          <w:lang w:val="en-GB"/>
          <w14:ligatures w14:val="standardContextual"/>
        </w:rPr>
        <w:t xml:space="preserve">trained </w:t>
      </w:r>
      <w:r w:rsidR="00054D56">
        <w:rPr>
          <w:rFonts w:cs="Times New Roman"/>
          <w:kern w:val="2"/>
          <w:szCs w:val="20"/>
          <w:lang w:val="en-GB"/>
          <w14:ligatures w14:val="standardContextual"/>
        </w:rPr>
        <w:t>individual</w:t>
      </w:r>
      <w:r w:rsidRPr="00E77A03">
        <w:rPr>
          <w:rFonts w:cs="Times New Roman"/>
          <w:kern w:val="2"/>
          <w:szCs w:val="20"/>
          <w:lang w:val="en-GB"/>
          <w14:ligatures w14:val="standardContextual"/>
        </w:rPr>
        <w:t>.</w:t>
      </w:r>
    </w:p>
    <w:p w14:paraId="04028C5A" w14:textId="44695C35" w:rsidR="00B4380E" w:rsidRPr="002B3136" w:rsidRDefault="00B4380E" w:rsidP="002B3136">
      <w:pPr>
        <w:pStyle w:val="recommendation"/>
        <w:numPr>
          <w:ilvl w:val="0"/>
          <w:numId w:val="0"/>
        </w:numPr>
        <w:rPr>
          <w:rFonts w:cs="Times New Roman"/>
          <w:kern w:val="2"/>
          <w:szCs w:val="20"/>
          <w:lang w:val="en-GB"/>
          <w14:ligatures w14:val="standardContextual"/>
        </w:rPr>
      </w:pPr>
      <w:r w:rsidRPr="00B4380E">
        <w:rPr>
          <w:rFonts w:cs="Times New Roman"/>
          <w:kern w:val="2"/>
          <w:szCs w:val="20"/>
          <w:lang w:val="en-GB"/>
          <w14:ligatures w14:val="standardContextual"/>
        </w:rPr>
        <w:t xml:space="preserve">Further detailed recommendations for anaesthetic care in paediatric population can be found in </w:t>
      </w:r>
      <w:hyperlink r:id="rId18" w:history="1">
        <w:r w:rsidRPr="0026161E">
          <w:rPr>
            <w:rStyle w:val="Hyperlink"/>
            <w:rFonts w:cs="Times New Roman"/>
            <w:kern w:val="2"/>
            <w:sz w:val="20"/>
            <w:szCs w:val="20"/>
            <w:lang w:val="en-GB"/>
            <w14:ligatures w14:val="standardContextual"/>
          </w:rPr>
          <w:t>Chapter 10: Guidelines for the Provision of Paediatric Anaesthesia Services 2023</w:t>
        </w:r>
      </w:hyperlink>
    </w:p>
    <w:p w14:paraId="353B209A" w14:textId="4059BBE1" w:rsidR="00B4380E" w:rsidRPr="004319F8" w:rsidRDefault="00B4380E" w:rsidP="00C510D7">
      <w:pPr>
        <w:pStyle w:val="Heading3"/>
        <w:rPr>
          <w:lang w:eastAsia="ja-JP"/>
        </w:rPr>
      </w:pPr>
      <w:bookmarkStart w:id="21" w:name="_Hlk153966439"/>
      <w:r>
        <w:rPr>
          <w:lang w:eastAsia="ja-JP"/>
        </w:rPr>
        <w:t>Pregnant and breastfeeding</w:t>
      </w:r>
    </w:p>
    <w:bookmarkEnd w:id="21"/>
    <w:p w14:paraId="22911A33" w14:textId="279F0E94" w:rsidR="005E155B" w:rsidRDefault="005E155B" w:rsidP="005E155B">
      <w:pPr>
        <w:pStyle w:val="recommendation"/>
      </w:pPr>
      <w:r>
        <w:t>All anaesthetists involved in the care of pregnant and breastfeeding women should be competent to deliver high quality and safe anaesthetic care in this population</w:t>
      </w:r>
      <w:bookmarkStart w:id="22" w:name="_Ref160705341"/>
      <w:r w:rsidR="006B556B">
        <w:rPr>
          <w:rStyle w:val="EndnoteReference"/>
        </w:rPr>
        <w:endnoteReference w:id="55"/>
      </w:r>
      <w:bookmarkEnd w:id="22"/>
      <w:r>
        <w:t>.</w:t>
      </w:r>
    </w:p>
    <w:p w14:paraId="33A6CF8D" w14:textId="003669C4" w:rsidR="005E155B" w:rsidRDefault="005E155B" w:rsidP="005E155B">
      <w:pPr>
        <w:pStyle w:val="recommendation"/>
      </w:pPr>
      <w:r>
        <w:t>Guidelines on anaesthetising pregnant patients should be followed</w:t>
      </w:r>
      <w:r w:rsidR="003E654F">
        <w:rPr>
          <w:rStyle w:val="EndnoteReference"/>
        </w:rPr>
        <w:endnoteReference w:id="56"/>
      </w:r>
      <w:r w:rsidR="003B3969">
        <w:t xml:space="preserve">. </w:t>
      </w:r>
      <w:r>
        <w:t>Local or regional technique are preferable where feasible in pregnant and breastfeeding women</w:t>
      </w:r>
      <w:r w:rsidR="00287AA4" w:rsidRPr="00287AA4">
        <w:rPr>
          <w:vertAlign w:val="superscript"/>
        </w:rPr>
        <w:fldChar w:fldCharType="begin"/>
      </w:r>
      <w:r w:rsidR="00287AA4" w:rsidRPr="00287AA4">
        <w:rPr>
          <w:vertAlign w:val="superscript"/>
        </w:rPr>
        <w:instrText xml:space="preserve"> NOTEREF _Ref160705338 \h </w:instrText>
      </w:r>
      <w:r w:rsidR="00287AA4">
        <w:rPr>
          <w:vertAlign w:val="superscript"/>
        </w:rPr>
        <w:instrText xml:space="preserve"> \* MERGEFORMAT </w:instrText>
      </w:r>
      <w:r w:rsidR="00287AA4" w:rsidRPr="00287AA4">
        <w:rPr>
          <w:vertAlign w:val="superscript"/>
        </w:rPr>
      </w:r>
      <w:r w:rsidR="00287AA4" w:rsidRPr="00287AA4">
        <w:rPr>
          <w:vertAlign w:val="superscript"/>
        </w:rPr>
        <w:fldChar w:fldCharType="separate"/>
      </w:r>
      <w:r w:rsidR="0088690E">
        <w:rPr>
          <w:vertAlign w:val="superscript"/>
        </w:rPr>
        <w:t>54</w:t>
      </w:r>
      <w:r w:rsidR="00287AA4" w:rsidRPr="00287AA4">
        <w:rPr>
          <w:vertAlign w:val="superscript"/>
        </w:rPr>
        <w:fldChar w:fldCharType="end"/>
      </w:r>
      <w:r w:rsidR="00287AA4" w:rsidRPr="00287AA4">
        <w:rPr>
          <w:vertAlign w:val="superscript"/>
        </w:rPr>
        <w:t>,</w:t>
      </w:r>
      <w:r w:rsidR="00287AA4" w:rsidRPr="00287AA4">
        <w:rPr>
          <w:vertAlign w:val="superscript"/>
        </w:rPr>
        <w:fldChar w:fldCharType="begin"/>
      </w:r>
      <w:r w:rsidR="00287AA4" w:rsidRPr="00287AA4">
        <w:rPr>
          <w:vertAlign w:val="superscript"/>
        </w:rPr>
        <w:instrText xml:space="preserve"> NOTEREF _Ref160705341 \h </w:instrText>
      </w:r>
      <w:r w:rsidR="00287AA4">
        <w:rPr>
          <w:vertAlign w:val="superscript"/>
        </w:rPr>
        <w:instrText xml:space="preserve"> \* MERGEFORMAT </w:instrText>
      </w:r>
      <w:r w:rsidR="00287AA4" w:rsidRPr="00287AA4">
        <w:rPr>
          <w:vertAlign w:val="superscript"/>
        </w:rPr>
      </w:r>
      <w:r w:rsidR="00287AA4" w:rsidRPr="00287AA4">
        <w:rPr>
          <w:vertAlign w:val="superscript"/>
        </w:rPr>
        <w:fldChar w:fldCharType="separate"/>
      </w:r>
      <w:r w:rsidR="0088690E">
        <w:rPr>
          <w:vertAlign w:val="superscript"/>
        </w:rPr>
        <w:t>55</w:t>
      </w:r>
      <w:r w:rsidR="00287AA4" w:rsidRPr="00287AA4">
        <w:rPr>
          <w:vertAlign w:val="superscript"/>
        </w:rPr>
        <w:fldChar w:fldCharType="end"/>
      </w:r>
      <w:r>
        <w:t>.</w:t>
      </w:r>
    </w:p>
    <w:p w14:paraId="21751078" w14:textId="078AC1D4" w:rsidR="005E155B" w:rsidRDefault="005E155B" w:rsidP="005E155B">
      <w:pPr>
        <w:pStyle w:val="recommendation"/>
      </w:pPr>
      <w:r>
        <w:t>In pregnant women having non obstetric surgery and regional anaesthesia, the decision to monitor fetal heart rate during surgery is specific to the patient and often based on institutional guidelines</w:t>
      </w:r>
      <w:r w:rsidR="003B3969">
        <w:t xml:space="preserve">. </w:t>
      </w:r>
      <w:r>
        <w:t>Informed consent should include consideration of fetal wellbeing, the possibility of caesarean delivery and any risks for mother and child.</w:t>
      </w:r>
    </w:p>
    <w:p w14:paraId="20E81F39" w14:textId="3D2AC8EC" w:rsidR="00B4380E" w:rsidRDefault="005E155B" w:rsidP="005E155B">
      <w:pPr>
        <w:pStyle w:val="recommendation"/>
      </w:pPr>
      <w:r>
        <w:t>Guidelines for the management of pregnant women receiving anticoagulation, and for the recognition and management of complications of regional analgesia/anaesthesia should be available, including access to appropriate imaging facilities if neurological injury occurs.</w:t>
      </w:r>
    </w:p>
    <w:p w14:paraId="7E000013" w14:textId="5817B7B1" w:rsidR="005E155B" w:rsidRDefault="005E155B" w:rsidP="005E155B">
      <w:pPr>
        <w:pStyle w:val="recommendation"/>
        <w:numPr>
          <w:ilvl w:val="0"/>
          <w:numId w:val="0"/>
        </w:numPr>
        <w:rPr>
          <w:b/>
          <w:bCs/>
        </w:rPr>
      </w:pPr>
      <w:r w:rsidRPr="005E155B">
        <w:t xml:space="preserve">Further detailed recommendations for anaesthetic care in obstetric and non-obstetric surgery for pregnant women can be found on </w:t>
      </w:r>
      <w:hyperlink r:id="rId19" w:history="1">
        <w:r w:rsidRPr="0026161E">
          <w:rPr>
            <w:rStyle w:val="Hyperlink"/>
            <w:sz w:val="20"/>
          </w:rPr>
          <w:t>Chapter 9: Guidelines for the Provision of Anaesthesia Services (GPAS) Guidelines for the Provision of Anaesthesia Services for an Obstetric Population 2024</w:t>
        </w:r>
      </w:hyperlink>
      <w:r w:rsidRPr="005E155B">
        <w:t xml:space="preserve"> and </w:t>
      </w:r>
      <w:hyperlink r:id="rId20" w:history="1">
        <w:r w:rsidRPr="0026161E">
          <w:rPr>
            <w:rStyle w:val="Hyperlink"/>
            <w:sz w:val="20"/>
          </w:rPr>
          <w:t>Chapter 5: Guidelines for the Provision of Emergency Anaesthesia Services 2024</w:t>
        </w:r>
      </w:hyperlink>
    </w:p>
    <w:p w14:paraId="5AF6DC5D" w14:textId="1B693B60" w:rsidR="003B3969" w:rsidRPr="004319F8" w:rsidRDefault="003B3969" w:rsidP="00C510D7">
      <w:pPr>
        <w:pStyle w:val="Heading3"/>
        <w:rPr>
          <w:lang w:eastAsia="ja-JP"/>
        </w:rPr>
      </w:pPr>
      <w:r>
        <w:rPr>
          <w:lang w:eastAsia="ja-JP"/>
        </w:rPr>
        <w:lastRenderedPageBreak/>
        <w:t>Frail and older patients</w:t>
      </w:r>
    </w:p>
    <w:p w14:paraId="16F69E47" w14:textId="4F721D90" w:rsidR="003B3969" w:rsidRPr="003B3969" w:rsidRDefault="003B3969" w:rsidP="003B3969">
      <w:pPr>
        <w:pStyle w:val="recommendation"/>
        <w:rPr>
          <w:rStyle w:val="None"/>
        </w:rPr>
      </w:pPr>
      <w:r w:rsidRPr="003B3969">
        <w:rPr>
          <w:rStyle w:val="None"/>
        </w:rPr>
        <w:t xml:space="preserve"> Guidelines on perioperative care of elderly patients should be </w:t>
      </w:r>
      <w:r w:rsidR="0000347A">
        <w:rPr>
          <w:rStyle w:val="None"/>
        </w:rPr>
        <w:t>available</w:t>
      </w:r>
      <w:bookmarkStart w:id="23" w:name="_Ref160705793"/>
      <w:r w:rsidR="00287AA4">
        <w:rPr>
          <w:rStyle w:val="EndnoteReference"/>
        </w:rPr>
        <w:endnoteReference w:id="57"/>
      </w:r>
      <w:bookmarkEnd w:id="23"/>
      <w:r w:rsidRPr="003B3969">
        <w:rPr>
          <w:rStyle w:val="None"/>
        </w:rPr>
        <w:t>.</w:t>
      </w:r>
    </w:p>
    <w:p w14:paraId="655C5664" w14:textId="5B8C55F6" w:rsidR="003B3969" w:rsidRPr="003B3969" w:rsidRDefault="003B3969" w:rsidP="003B3969">
      <w:pPr>
        <w:pStyle w:val="recommendation"/>
        <w:rPr>
          <w:rStyle w:val="None"/>
        </w:rPr>
      </w:pPr>
      <w:r w:rsidRPr="003B3969">
        <w:rPr>
          <w:rStyle w:val="None"/>
        </w:rPr>
        <w:t>Multidisciplinary communication about the nature of surgical intervention is necessary to provide adequate anaesthesia care and analgesia plan in this high-risk population</w:t>
      </w:r>
      <w:r w:rsidR="000D5B19">
        <w:rPr>
          <w:rStyle w:val="None"/>
        </w:rPr>
        <w:t xml:space="preserve"> and should be available</w:t>
      </w:r>
      <w:r w:rsidRPr="003B3969">
        <w:rPr>
          <w:rStyle w:val="None"/>
        </w:rPr>
        <w:t xml:space="preserve">.  </w:t>
      </w:r>
    </w:p>
    <w:p w14:paraId="321A19E1" w14:textId="08AFC1DB" w:rsidR="003B3969" w:rsidRDefault="003B3969" w:rsidP="003B3969">
      <w:pPr>
        <w:pStyle w:val="recommendation"/>
        <w:rPr>
          <w:rStyle w:val="None"/>
        </w:rPr>
      </w:pPr>
      <w:r w:rsidRPr="003B3969">
        <w:rPr>
          <w:rStyle w:val="None"/>
        </w:rPr>
        <w:t xml:space="preserve">Older patients should be assessed for risk of postoperative cognitive dysfunction and preoperative interventions undertaken to reduce the incidence, </w:t>
      </w:r>
      <w:proofErr w:type="gramStart"/>
      <w:r w:rsidRPr="003B3969">
        <w:rPr>
          <w:rStyle w:val="None"/>
        </w:rPr>
        <w:t>severity</w:t>
      </w:r>
      <w:proofErr w:type="gramEnd"/>
      <w:r w:rsidRPr="003B3969">
        <w:rPr>
          <w:rStyle w:val="None"/>
        </w:rPr>
        <w:t xml:space="preserve"> and duration. </w:t>
      </w:r>
      <w:r w:rsidR="00CF1B14">
        <w:rPr>
          <w:rStyle w:val="None"/>
        </w:rPr>
        <w:t>Whilst t</w:t>
      </w:r>
      <w:r w:rsidRPr="003B3969">
        <w:rPr>
          <w:rStyle w:val="None"/>
        </w:rPr>
        <w:t>he use of regional anaesthesia alone without sedation might be considered</w:t>
      </w:r>
      <w:r>
        <w:rPr>
          <w:rStyle w:val="None"/>
        </w:rPr>
        <w:t>,</w:t>
      </w:r>
      <w:r w:rsidRPr="003B3969">
        <w:rPr>
          <w:rStyle w:val="None"/>
        </w:rPr>
        <w:t xml:space="preserve"> there is a lack of strong quality evidence suggesting that this reduces the overall risk</w:t>
      </w:r>
      <w:r w:rsidR="00287AA4" w:rsidRPr="00287AA4">
        <w:rPr>
          <w:rStyle w:val="None"/>
          <w:vertAlign w:val="superscript"/>
        </w:rPr>
        <w:fldChar w:fldCharType="begin"/>
      </w:r>
      <w:r w:rsidR="00287AA4" w:rsidRPr="00287AA4">
        <w:rPr>
          <w:rStyle w:val="None"/>
          <w:vertAlign w:val="superscript"/>
        </w:rPr>
        <w:instrText xml:space="preserve"> NOTEREF _Ref160705793 \h </w:instrText>
      </w:r>
      <w:r w:rsidR="00287AA4">
        <w:rPr>
          <w:rStyle w:val="None"/>
          <w:vertAlign w:val="superscript"/>
        </w:rPr>
        <w:instrText xml:space="preserve"> \* MERGEFORMAT </w:instrText>
      </w:r>
      <w:r w:rsidR="00287AA4" w:rsidRPr="00287AA4">
        <w:rPr>
          <w:rStyle w:val="None"/>
          <w:vertAlign w:val="superscript"/>
        </w:rPr>
      </w:r>
      <w:r w:rsidR="00287AA4" w:rsidRPr="00287AA4">
        <w:rPr>
          <w:rStyle w:val="None"/>
          <w:vertAlign w:val="superscript"/>
        </w:rPr>
        <w:fldChar w:fldCharType="separate"/>
      </w:r>
      <w:r w:rsidR="0088690E">
        <w:rPr>
          <w:rStyle w:val="None"/>
          <w:vertAlign w:val="superscript"/>
        </w:rPr>
        <w:t>57</w:t>
      </w:r>
      <w:r w:rsidR="00287AA4" w:rsidRPr="00287AA4">
        <w:rPr>
          <w:rStyle w:val="None"/>
          <w:vertAlign w:val="superscript"/>
        </w:rPr>
        <w:fldChar w:fldCharType="end"/>
      </w:r>
      <w:r w:rsidRPr="003B3969">
        <w:rPr>
          <w:rStyle w:val="None"/>
        </w:rPr>
        <w:t xml:space="preserve">. </w:t>
      </w:r>
    </w:p>
    <w:p w14:paraId="4236F54A" w14:textId="5129C9E9" w:rsidR="003B3969" w:rsidRDefault="003B3969" w:rsidP="003B3969">
      <w:pPr>
        <w:pStyle w:val="recommendation"/>
        <w:rPr>
          <w:rStyle w:val="None"/>
        </w:rPr>
      </w:pPr>
      <w:r w:rsidRPr="003B3969">
        <w:rPr>
          <w:rStyle w:val="None"/>
        </w:rPr>
        <w:t>In patients deemed to be lacking in capacity, proxy information should be sought to determine what treatment, if any, is in the patient’s best interests and this should be clearly documented</w:t>
      </w:r>
      <w:r w:rsidR="00287AA4" w:rsidRPr="00287AA4">
        <w:rPr>
          <w:rStyle w:val="None"/>
          <w:vertAlign w:val="superscript"/>
        </w:rPr>
        <w:fldChar w:fldCharType="begin"/>
      </w:r>
      <w:r w:rsidR="00287AA4" w:rsidRPr="00287AA4">
        <w:rPr>
          <w:rStyle w:val="None"/>
          <w:vertAlign w:val="superscript"/>
        </w:rPr>
        <w:instrText xml:space="preserve"> NOTEREF _Ref160705793 \h </w:instrText>
      </w:r>
      <w:r w:rsidR="00287AA4">
        <w:rPr>
          <w:rStyle w:val="None"/>
          <w:vertAlign w:val="superscript"/>
        </w:rPr>
        <w:instrText xml:space="preserve"> \* MERGEFORMAT </w:instrText>
      </w:r>
      <w:r w:rsidR="00287AA4" w:rsidRPr="00287AA4">
        <w:rPr>
          <w:rStyle w:val="None"/>
          <w:vertAlign w:val="superscript"/>
        </w:rPr>
      </w:r>
      <w:r w:rsidR="00287AA4" w:rsidRPr="00287AA4">
        <w:rPr>
          <w:rStyle w:val="None"/>
          <w:vertAlign w:val="superscript"/>
        </w:rPr>
        <w:fldChar w:fldCharType="separate"/>
      </w:r>
      <w:r w:rsidR="0088690E">
        <w:rPr>
          <w:rStyle w:val="None"/>
          <w:vertAlign w:val="superscript"/>
        </w:rPr>
        <w:t>57</w:t>
      </w:r>
      <w:r w:rsidR="00287AA4" w:rsidRPr="00287AA4">
        <w:rPr>
          <w:rStyle w:val="None"/>
          <w:vertAlign w:val="superscript"/>
        </w:rPr>
        <w:fldChar w:fldCharType="end"/>
      </w:r>
      <w:r w:rsidRPr="003B3969">
        <w:rPr>
          <w:rStyle w:val="None"/>
        </w:rPr>
        <w:t>.</w:t>
      </w:r>
    </w:p>
    <w:p w14:paraId="171C8294" w14:textId="7546B632" w:rsidR="003B3969" w:rsidRDefault="003B3969" w:rsidP="00C510D7">
      <w:pPr>
        <w:pStyle w:val="Heading3"/>
        <w:rPr>
          <w:lang w:eastAsia="ja-JP"/>
        </w:rPr>
      </w:pPr>
      <w:r>
        <w:rPr>
          <w:lang w:eastAsia="ja-JP"/>
        </w:rPr>
        <w:t>Patients living with obesity</w:t>
      </w:r>
    </w:p>
    <w:p w14:paraId="3D6D0114" w14:textId="73AE2954" w:rsidR="003B3969" w:rsidRPr="003B3969" w:rsidRDefault="003B3969" w:rsidP="003B3969">
      <w:pPr>
        <w:pStyle w:val="recommendation"/>
        <w:rPr>
          <w:rStyle w:val="None"/>
        </w:rPr>
      </w:pPr>
      <w:r w:rsidRPr="003B3969">
        <w:rPr>
          <w:rStyle w:val="None"/>
        </w:rPr>
        <w:t>Experienced anaesthetists should manage patients living with obesity. Regional anaesthesia in this group of patients can be challenging and should be undertaken/supervised by experienced anaesthetists</w:t>
      </w:r>
      <w:r w:rsidR="00335C54">
        <w:rPr>
          <w:rStyle w:val="EndnoteReference"/>
        </w:rPr>
        <w:endnoteReference w:id="58"/>
      </w:r>
      <w:r w:rsidRPr="003B3969">
        <w:rPr>
          <w:rStyle w:val="None"/>
        </w:rPr>
        <w:t xml:space="preserve">.  </w:t>
      </w:r>
    </w:p>
    <w:p w14:paraId="3CC04277" w14:textId="4682A0CD" w:rsidR="003B3969" w:rsidRPr="003B3969" w:rsidRDefault="003B3969" w:rsidP="003B3969">
      <w:pPr>
        <w:pStyle w:val="recommendation"/>
        <w:rPr>
          <w:rStyle w:val="None"/>
        </w:rPr>
      </w:pPr>
      <w:r w:rsidRPr="003B3969">
        <w:rPr>
          <w:rStyle w:val="None"/>
        </w:rPr>
        <w:t xml:space="preserve">Additional specialised equipment might be necessary to perform regional anaesthesia techniques </w:t>
      </w:r>
      <w:r w:rsidR="000D5B19" w:rsidRPr="003B3969">
        <w:rPr>
          <w:rStyle w:val="None"/>
        </w:rPr>
        <w:t>on</w:t>
      </w:r>
      <w:r w:rsidRPr="003B3969">
        <w:rPr>
          <w:rStyle w:val="None"/>
        </w:rPr>
        <w:t xml:space="preserve"> these patients. Equipment such as extra</w:t>
      </w:r>
      <w:r w:rsidR="000D5B19">
        <w:rPr>
          <w:rStyle w:val="None"/>
        </w:rPr>
        <w:t>-</w:t>
      </w:r>
      <w:r w:rsidRPr="003B3969">
        <w:rPr>
          <w:rStyle w:val="None"/>
        </w:rPr>
        <w:t>long spinal or epidural needles should be available.</w:t>
      </w:r>
    </w:p>
    <w:p w14:paraId="3B5F9DF4" w14:textId="1FF1E599" w:rsidR="003B3969" w:rsidRDefault="000D5B19" w:rsidP="003B3969">
      <w:pPr>
        <w:pStyle w:val="recommendation"/>
        <w:rPr>
          <w:rStyle w:val="None"/>
          <w:lang w:eastAsia="ja-JP"/>
        </w:rPr>
      </w:pPr>
      <w:r>
        <w:rPr>
          <w:rStyle w:val="None"/>
        </w:rPr>
        <w:t>Ultrasound equipment should be available, as its</w:t>
      </w:r>
      <w:r w:rsidR="003B3969" w:rsidRPr="003B3969">
        <w:rPr>
          <w:rStyle w:val="None"/>
        </w:rPr>
        <w:t xml:space="preserve"> use to guide central and peripheral techniques is encouraged to increase success</w:t>
      </w:r>
      <w:r w:rsidR="00396784">
        <w:rPr>
          <w:rStyle w:val="None"/>
        </w:rPr>
        <w:t xml:space="preserve"> rates</w:t>
      </w:r>
      <w:r w:rsidR="003B3969" w:rsidRPr="003B3969">
        <w:rPr>
          <w:rStyle w:val="None"/>
        </w:rPr>
        <w:t xml:space="preserve">. </w:t>
      </w:r>
    </w:p>
    <w:p w14:paraId="0DF6A410" w14:textId="432117ED" w:rsidR="003B3969" w:rsidRDefault="003B3969" w:rsidP="00C510D7">
      <w:pPr>
        <w:pStyle w:val="Heading3"/>
        <w:rPr>
          <w:lang w:eastAsia="ja-JP"/>
        </w:rPr>
      </w:pPr>
      <w:r>
        <w:rPr>
          <w:lang w:eastAsia="ja-JP"/>
        </w:rPr>
        <w:t>Critically ill patients</w:t>
      </w:r>
    </w:p>
    <w:p w14:paraId="4EFD5A00" w14:textId="7C99B8E1" w:rsidR="00F610F3" w:rsidRPr="00F610F3" w:rsidRDefault="00F610F3" w:rsidP="00F610F3">
      <w:pPr>
        <w:pStyle w:val="recommendation"/>
        <w:rPr>
          <w:rStyle w:val="None"/>
        </w:rPr>
      </w:pPr>
      <w:r w:rsidRPr="00F610F3">
        <w:rPr>
          <w:rStyle w:val="None"/>
        </w:rPr>
        <w:t xml:space="preserve">Critically ill patients are complex and hold unique particularities that </w:t>
      </w:r>
      <w:proofErr w:type="gramStart"/>
      <w:r w:rsidRPr="00F610F3">
        <w:rPr>
          <w:rStyle w:val="None"/>
        </w:rPr>
        <w:t>makes</w:t>
      </w:r>
      <w:proofErr w:type="gramEnd"/>
      <w:r w:rsidRPr="00F610F3">
        <w:rPr>
          <w:rStyle w:val="None"/>
        </w:rPr>
        <w:t xml:space="preserve"> them more susceptible to side effects and complications of regional anaesthesia techniques. Experienced regional anaesthetist</w:t>
      </w:r>
      <w:r w:rsidR="00396784">
        <w:rPr>
          <w:rStyle w:val="None"/>
        </w:rPr>
        <w:t>s</w:t>
      </w:r>
      <w:r w:rsidRPr="00F610F3">
        <w:rPr>
          <w:rStyle w:val="None"/>
        </w:rPr>
        <w:t xml:space="preserve"> should perform/supervise regional anaesthesia techniques in these patients. </w:t>
      </w:r>
    </w:p>
    <w:p w14:paraId="0758A6E3" w14:textId="72D780C4" w:rsidR="00F610F3" w:rsidRDefault="00F610F3" w:rsidP="00F610F3">
      <w:pPr>
        <w:pStyle w:val="recommendation"/>
        <w:rPr>
          <w:rStyle w:val="None"/>
        </w:rPr>
      </w:pPr>
      <w:r w:rsidRPr="00F610F3">
        <w:rPr>
          <w:rStyle w:val="None"/>
        </w:rPr>
        <w:t xml:space="preserve">Regional anaesthesia complications in sedated </w:t>
      </w:r>
      <w:proofErr w:type="gramStart"/>
      <w:r w:rsidRPr="00F610F3">
        <w:rPr>
          <w:rStyle w:val="None"/>
        </w:rPr>
        <w:t>patient</w:t>
      </w:r>
      <w:proofErr w:type="gramEnd"/>
      <w:r w:rsidRPr="00F610F3">
        <w:rPr>
          <w:rStyle w:val="None"/>
        </w:rPr>
        <w:t xml:space="preserve"> are less easily recogn</w:t>
      </w:r>
      <w:r w:rsidR="00B60802">
        <w:rPr>
          <w:rStyle w:val="None"/>
        </w:rPr>
        <w:t>is</w:t>
      </w:r>
      <w:r w:rsidRPr="00F610F3">
        <w:rPr>
          <w:rStyle w:val="None"/>
        </w:rPr>
        <w:t>able, and a high index of suspicion is required</w:t>
      </w:r>
      <w:r w:rsidR="00333915">
        <w:rPr>
          <w:rStyle w:val="None"/>
        </w:rPr>
        <w:t>, which should be recognised in local policies and procedures</w:t>
      </w:r>
      <w:r w:rsidRPr="00F610F3">
        <w:rPr>
          <w:rStyle w:val="None"/>
        </w:rPr>
        <w:t xml:space="preserve">.   </w:t>
      </w:r>
    </w:p>
    <w:p w14:paraId="07ACDF14" w14:textId="7A101E8E" w:rsidR="003B3969" w:rsidRDefault="00F610F3" w:rsidP="00F610F3">
      <w:pPr>
        <w:pStyle w:val="recommendation"/>
        <w:rPr>
          <w:rStyle w:val="None"/>
        </w:rPr>
      </w:pPr>
      <w:r w:rsidRPr="00F610F3">
        <w:rPr>
          <w:rStyle w:val="None"/>
        </w:rPr>
        <w:t xml:space="preserve">In </w:t>
      </w:r>
      <w:r w:rsidR="000D5B19">
        <w:rPr>
          <w:rStyle w:val="None"/>
        </w:rPr>
        <w:t xml:space="preserve">the </w:t>
      </w:r>
      <w:r w:rsidRPr="00F610F3">
        <w:rPr>
          <w:rStyle w:val="None"/>
        </w:rPr>
        <w:t>patient receiving epidural analgesia or other continuous LA infusions the site of injection should be checked at least once a day. Patients should be monitored for early signs of complications.</w:t>
      </w:r>
    </w:p>
    <w:p w14:paraId="08FD9129" w14:textId="02B67DA8" w:rsidR="00F610F3" w:rsidRDefault="00F610F3" w:rsidP="00F610F3">
      <w:pPr>
        <w:pStyle w:val="recommendation"/>
        <w:numPr>
          <w:ilvl w:val="0"/>
          <w:numId w:val="0"/>
        </w:numPr>
        <w:rPr>
          <w:rFonts w:eastAsia="MS ????"/>
          <w:b/>
          <w:bCs/>
          <w:color w:val="291F51" w:themeColor="accent1"/>
          <w:sz w:val="22"/>
          <w:szCs w:val="24"/>
          <w:lang w:eastAsia="ja-JP"/>
        </w:rPr>
      </w:pPr>
      <w:r w:rsidRPr="00F610F3">
        <w:rPr>
          <w:rFonts w:eastAsia="MS ????"/>
          <w:b/>
          <w:bCs/>
          <w:color w:val="291F51" w:themeColor="accent1"/>
          <w:sz w:val="22"/>
          <w:szCs w:val="24"/>
          <w:lang w:eastAsia="ja-JP"/>
        </w:rPr>
        <w:t>Trauma &amp; Orthopaedic</w:t>
      </w:r>
      <w:r>
        <w:rPr>
          <w:rFonts w:eastAsia="MS ????"/>
          <w:b/>
          <w:bCs/>
          <w:color w:val="291F51" w:themeColor="accent1"/>
          <w:sz w:val="22"/>
          <w:szCs w:val="24"/>
          <w:lang w:eastAsia="ja-JP"/>
        </w:rPr>
        <w:t>s</w:t>
      </w:r>
    </w:p>
    <w:p w14:paraId="399C6CEC" w14:textId="1BB75635" w:rsidR="00F610F3" w:rsidRPr="00F610F3" w:rsidRDefault="00C676D0" w:rsidP="000D5B19">
      <w:pPr>
        <w:pStyle w:val="recommendation"/>
        <w:numPr>
          <w:ilvl w:val="0"/>
          <w:numId w:val="0"/>
        </w:numPr>
        <w:rPr>
          <w:rStyle w:val="None"/>
        </w:rPr>
      </w:pPr>
      <w:r w:rsidRPr="00C676D0">
        <w:rPr>
          <w:rStyle w:val="None"/>
        </w:rPr>
        <w:t xml:space="preserve">Benefits of RA in Trauma and Orthopaedic include good pain control, improved theatre efficiency, early recovery, reduction in PACU stay </w:t>
      </w:r>
      <w:r w:rsidR="00F3038B">
        <w:rPr>
          <w:rStyle w:val="None"/>
        </w:rPr>
        <w:t>and</w:t>
      </w:r>
      <w:r w:rsidRPr="00C676D0">
        <w:rPr>
          <w:rStyle w:val="None"/>
        </w:rPr>
        <w:t xml:space="preserve"> bypass</w:t>
      </w:r>
      <w:r w:rsidR="00F3038B">
        <w:rPr>
          <w:rStyle w:val="None"/>
        </w:rPr>
        <w:t>ing</w:t>
      </w:r>
      <w:r w:rsidRPr="00C676D0">
        <w:rPr>
          <w:rStyle w:val="None"/>
        </w:rPr>
        <w:t xml:space="preserve"> the first stage recovery in some cases. Institutions are encourage</w:t>
      </w:r>
      <w:r w:rsidR="000D5B19">
        <w:rPr>
          <w:rStyle w:val="None"/>
        </w:rPr>
        <w:t>d</w:t>
      </w:r>
      <w:r w:rsidRPr="00C676D0">
        <w:rPr>
          <w:rStyle w:val="None"/>
        </w:rPr>
        <w:t xml:space="preserve"> to incorporate RA and Enhanced Recovery After Surgery (ERAS) into daily practice.</w:t>
      </w:r>
    </w:p>
    <w:p w14:paraId="70211747" w14:textId="3DA42B10" w:rsidR="00F610F3" w:rsidRPr="00F610F3" w:rsidRDefault="00F610F3" w:rsidP="00F610F3">
      <w:pPr>
        <w:pStyle w:val="recommendation"/>
        <w:rPr>
          <w:rStyle w:val="None"/>
        </w:rPr>
      </w:pPr>
      <w:r w:rsidRPr="00F610F3">
        <w:rPr>
          <w:rStyle w:val="None"/>
        </w:rPr>
        <w:t>Early multidisciplinary assessment including surgeons, pain services, critical care and physiotherapy should determine the optimal analgesia management for chest wall injuries including provision for early epidural or nerve blocks in patients with multiple rib fractures</w:t>
      </w:r>
      <w:bookmarkStart w:id="24" w:name="_Ref160706212"/>
      <w:r w:rsidR="004B1EEE">
        <w:rPr>
          <w:rStyle w:val="EndnoteReference"/>
        </w:rPr>
        <w:endnoteReference w:id="59"/>
      </w:r>
      <w:bookmarkEnd w:id="24"/>
      <w:r w:rsidR="000D5B19">
        <w:rPr>
          <w:rStyle w:val="None"/>
        </w:rPr>
        <w:t>.</w:t>
      </w:r>
    </w:p>
    <w:p w14:paraId="141FA356" w14:textId="1FDBE828" w:rsidR="00F610F3" w:rsidRPr="00F610F3" w:rsidRDefault="00F610F3" w:rsidP="00F610F3">
      <w:pPr>
        <w:pStyle w:val="recommendation"/>
        <w:rPr>
          <w:rStyle w:val="None"/>
        </w:rPr>
      </w:pPr>
      <w:r w:rsidRPr="00F610F3">
        <w:rPr>
          <w:rStyle w:val="None"/>
        </w:rPr>
        <w:lastRenderedPageBreak/>
        <w:t>Establishing pathways which lead to early identification and timely management of injured nerves is key to optimal patient outcome. There should be a clear and accessible pathway for suspected peripheral nerve injuries including a single point of contact to guide further management</w:t>
      </w:r>
      <w:r w:rsidR="004B1EEE" w:rsidRPr="004B1EEE">
        <w:rPr>
          <w:rStyle w:val="None"/>
          <w:vertAlign w:val="superscript"/>
        </w:rPr>
        <w:fldChar w:fldCharType="begin"/>
      </w:r>
      <w:r w:rsidR="004B1EEE" w:rsidRPr="004B1EEE">
        <w:rPr>
          <w:rStyle w:val="None"/>
          <w:vertAlign w:val="superscript"/>
        </w:rPr>
        <w:instrText xml:space="preserve"> NOTEREF _Ref160706212 \h </w:instrText>
      </w:r>
      <w:r w:rsidR="004B1EEE">
        <w:rPr>
          <w:rStyle w:val="None"/>
          <w:vertAlign w:val="superscript"/>
        </w:rPr>
        <w:instrText xml:space="preserve"> \* MERGEFORMAT </w:instrText>
      </w:r>
      <w:r w:rsidR="004B1EEE" w:rsidRPr="004B1EEE">
        <w:rPr>
          <w:rStyle w:val="None"/>
          <w:vertAlign w:val="superscript"/>
        </w:rPr>
      </w:r>
      <w:r w:rsidR="004B1EEE" w:rsidRPr="004B1EEE">
        <w:rPr>
          <w:rStyle w:val="None"/>
          <w:vertAlign w:val="superscript"/>
        </w:rPr>
        <w:fldChar w:fldCharType="separate"/>
      </w:r>
      <w:r w:rsidR="0088690E">
        <w:rPr>
          <w:rStyle w:val="None"/>
          <w:vertAlign w:val="superscript"/>
        </w:rPr>
        <w:t>59</w:t>
      </w:r>
      <w:r w:rsidR="004B1EEE" w:rsidRPr="004B1EEE">
        <w:rPr>
          <w:rStyle w:val="None"/>
          <w:vertAlign w:val="superscript"/>
        </w:rPr>
        <w:fldChar w:fldCharType="end"/>
      </w:r>
      <w:r w:rsidR="000D5B19">
        <w:rPr>
          <w:rStyle w:val="None"/>
        </w:rPr>
        <w:t>.</w:t>
      </w:r>
      <w:r w:rsidRPr="00F610F3">
        <w:rPr>
          <w:rStyle w:val="None"/>
        </w:rPr>
        <w:t xml:space="preserve"> </w:t>
      </w:r>
    </w:p>
    <w:p w14:paraId="083017A0" w14:textId="0651DFD8" w:rsidR="00F610F3" w:rsidRPr="00F610F3" w:rsidRDefault="002462B6" w:rsidP="00F610F3">
      <w:pPr>
        <w:pStyle w:val="recommendation"/>
        <w:rPr>
          <w:rStyle w:val="None"/>
        </w:rPr>
      </w:pPr>
      <w:r w:rsidRPr="00F610F3">
        <w:rPr>
          <w:rStyle w:val="None"/>
        </w:rPr>
        <w:t>Patients at risk of acute compartment syndrome should be identified on admission to hospital or at the time of surgery, and the condition should be managed within agreed multidisciplinary protocols. Single-shot or continuous peripheral nerve blocks using lower concentrations of local anaesthetic drugs without adjuncts have not been associated with delays in diagnosis provided post injury or postoperative surveillance is appropriate and effective</w:t>
      </w:r>
      <w:r w:rsidR="00A22EBB">
        <w:rPr>
          <w:rStyle w:val="EndnoteReference"/>
        </w:rPr>
        <w:endnoteReference w:id="60"/>
      </w:r>
      <w:r w:rsidR="00F610F3" w:rsidRPr="00F610F3">
        <w:rPr>
          <w:rStyle w:val="None"/>
        </w:rPr>
        <w:t xml:space="preserve">. </w:t>
      </w:r>
    </w:p>
    <w:p w14:paraId="631C3B8C" w14:textId="2FC732C9" w:rsidR="00F610F3" w:rsidRDefault="00F610F3" w:rsidP="00F610F3">
      <w:pPr>
        <w:pStyle w:val="recommendation"/>
        <w:numPr>
          <w:ilvl w:val="0"/>
          <w:numId w:val="0"/>
        </w:numPr>
        <w:rPr>
          <w:rFonts w:eastAsia="MS ????"/>
          <w:b/>
          <w:bCs/>
          <w:color w:val="291F51" w:themeColor="accent1"/>
          <w:sz w:val="22"/>
          <w:szCs w:val="24"/>
          <w:lang w:eastAsia="ja-JP"/>
        </w:rPr>
      </w:pPr>
      <w:r w:rsidRPr="00F610F3">
        <w:rPr>
          <w:rStyle w:val="None"/>
        </w:rPr>
        <w:t xml:space="preserve">Further detailed recommendations for anaesthetic care in trauma and Orthopaedic surgery can be found on </w:t>
      </w:r>
      <w:hyperlink r:id="rId21" w:history="1">
        <w:r w:rsidRPr="00C676D0">
          <w:rPr>
            <w:rStyle w:val="Hyperlink"/>
            <w:sz w:val="20"/>
          </w:rPr>
          <w:t>Chapter 16: Guidelines for the Provision of Anaesthesia Services for Trauma and Orthopaedic Surgery 202</w:t>
        </w:r>
        <w:r w:rsidR="00C676D0" w:rsidRPr="00C676D0">
          <w:rPr>
            <w:rStyle w:val="Hyperlink"/>
            <w:sz w:val="20"/>
          </w:rPr>
          <w:t>4</w:t>
        </w:r>
      </w:hyperlink>
    </w:p>
    <w:p w14:paraId="1DCD5303" w14:textId="68AA4A64" w:rsidR="006151E6" w:rsidRDefault="006151E6" w:rsidP="006151E6">
      <w:pPr>
        <w:pStyle w:val="recommendation"/>
        <w:numPr>
          <w:ilvl w:val="0"/>
          <w:numId w:val="0"/>
        </w:numPr>
        <w:rPr>
          <w:rFonts w:eastAsia="MS ????"/>
          <w:b/>
          <w:bCs/>
          <w:color w:val="291F51" w:themeColor="accent1"/>
          <w:sz w:val="22"/>
          <w:szCs w:val="24"/>
          <w:lang w:eastAsia="ja-JP"/>
        </w:rPr>
      </w:pPr>
      <w:r>
        <w:rPr>
          <w:rFonts w:eastAsia="MS ????"/>
          <w:b/>
          <w:bCs/>
          <w:color w:val="291F51" w:themeColor="accent1"/>
          <w:sz w:val="22"/>
          <w:szCs w:val="24"/>
          <w:lang w:eastAsia="ja-JP"/>
        </w:rPr>
        <w:t>Emergency Department patients</w:t>
      </w:r>
    </w:p>
    <w:p w14:paraId="79A0939C" w14:textId="1C0B47BF" w:rsidR="006151E6" w:rsidRPr="006151E6" w:rsidRDefault="006151E6" w:rsidP="006151E6">
      <w:pPr>
        <w:pStyle w:val="recommendation"/>
        <w:rPr>
          <w:rStyle w:val="None"/>
        </w:rPr>
      </w:pPr>
      <w:r w:rsidRPr="006151E6">
        <w:rPr>
          <w:rStyle w:val="None"/>
        </w:rPr>
        <w:t>Patients receiving any regional anaesthesia/analgesia care in a non-theatre location should be cared for by an adequately trained health professional with appropriate supervision</w:t>
      </w:r>
      <w:r w:rsidR="00F623E3">
        <w:rPr>
          <w:rStyle w:val="EndnoteReference"/>
        </w:rPr>
        <w:endnoteReference w:id="61"/>
      </w:r>
      <w:r>
        <w:rPr>
          <w:rStyle w:val="None"/>
        </w:rPr>
        <w:t>.</w:t>
      </w:r>
    </w:p>
    <w:p w14:paraId="1576772D" w14:textId="4B23720E" w:rsidR="006151E6" w:rsidRPr="006151E6" w:rsidRDefault="006151E6" w:rsidP="006151E6">
      <w:pPr>
        <w:pStyle w:val="recommendation"/>
        <w:rPr>
          <w:rStyle w:val="None"/>
        </w:rPr>
      </w:pPr>
      <w:r w:rsidRPr="006151E6">
        <w:rPr>
          <w:rStyle w:val="None"/>
        </w:rPr>
        <w:t>Guidelines for recogni</w:t>
      </w:r>
      <w:r w:rsidR="00B60802">
        <w:rPr>
          <w:rStyle w:val="None"/>
        </w:rPr>
        <w:t>s</w:t>
      </w:r>
      <w:r w:rsidRPr="006151E6">
        <w:rPr>
          <w:rStyle w:val="None"/>
        </w:rPr>
        <w:t>ing and managing complications including local anaesthetic toxicity, and intralipid, should be immediately available and located in all areas where large amounts of LA is administered</w:t>
      </w:r>
      <w:r w:rsidR="00C814C3">
        <w:rPr>
          <w:rStyle w:val="EndnoteReference"/>
        </w:rPr>
        <w:endnoteReference w:id="62"/>
      </w:r>
      <w:r w:rsidRPr="006151E6">
        <w:rPr>
          <w:rStyle w:val="None"/>
        </w:rPr>
        <w:t>.</w:t>
      </w:r>
    </w:p>
    <w:p w14:paraId="70D79EAB" w14:textId="7E3D0A64" w:rsidR="006151E6" w:rsidRPr="006151E6" w:rsidRDefault="006151E6" w:rsidP="006151E6">
      <w:pPr>
        <w:pStyle w:val="recommendation"/>
        <w:rPr>
          <w:rStyle w:val="None"/>
        </w:rPr>
      </w:pPr>
      <w:r w:rsidRPr="006151E6">
        <w:rPr>
          <w:rStyle w:val="None"/>
        </w:rPr>
        <w:t xml:space="preserve">After performing a nerve block in </w:t>
      </w:r>
      <w:r w:rsidR="0022614E">
        <w:rPr>
          <w:rStyle w:val="None"/>
        </w:rPr>
        <w:t>the emergency department</w:t>
      </w:r>
      <w:r w:rsidRPr="006151E6">
        <w:rPr>
          <w:rStyle w:val="None"/>
        </w:rPr>
        <w:t xml:space="preserve">, patients should be closely monitored during and after (for a minimum of 1 hour) the procedure; for both signs of local anaesthetic toxicity and sedation effects of other analgesia that may have been </w:t>
      </w:r>
      <w:r w:rsidR="00396784">
        <w:rPr>
          <w:rStyle w:val="None"/>
        </w:rPr>
        <w:t>administered</w:t>
      </w:r>
      <w:bookmarkStart w:id="25" w:name="_Ref160706806"/>
      <w:r w:rsidR="00B839F4">
        <w:rPr>
          <w:rStyle w:val="EndnoteReference"/>
        </w:rPr>
        <w:endnoteReference w:id="63"/>
      </w:r>
      <w:bookmarkEnd w:id="25"/>
      <w:r w:rsidRPr="006151E6">
        <w:rPr>
          <w:rStyle w:val="None"/>
        </w:rPr>
        <w:t xml:space="preserve">. </w:t>
      </w:r>
    </w:p>
    <w:p w14:paraId="0BE83338" w14:textId="17A327D8" w:rsidR="006151E6" w:rsidRDefault="006151E6" w:rsidP="006151E6">
      <w:pPr>
        <w:pStyle w:val="recommendation"/>
        <w:rPr>
          <w:rStyle w:val="None"/>
        </w:rPr>
      </w:pPr>
      <w:r w:rsidRPr="006151E6">
        <w:rPr>
          <w:rStyle w:val="None"/>
        </w:rPr>
        <w:t xml:space="preserve">Hospitals providing care for hip fracture patients should have a formal pathway which includes prompt provision of analgesia with regional </w:t>
      </w:r>
      <w:proofErr w:type="gramStart"/>
      <w:r w:rsidRPr="006151E6">
        <w:rPr>
          <w:rStyle w:val="None"/>
        </w:rPr>
        <w:t>block</w:t>
      </w:r>
      <w:proofErr w:type="gramEnd"/>
      <w:r w:rsidRPr="006151E6">
        <w:rPr>
          <w:rStyle w:val="None"/>
        </w:rPr>
        <w:t xml:space="preserve"> such as Fascia Iliaca Block (FIB or FICB) in Emergency Departments. FICB should be undertaken only by clinicians who have completed a competency assessment in this skill</w:t>
      </w:r>
      <w:r w:rsidR="00E67B66">
        <w:rPr>
          <w:rStyle w:val="EndnoteReference"/>
        </w:rPr>
        <w:endnoteReference w:id="64"/>
      </w:r>
      <w:r w:rsidRPr="006151E6">
        <w:rPr>
          <w:rStyle w:val="None"/>
        </w:rPr>
        <w:t xml:space="preserve">. </w:t>
      </w:r>
    </w:p>
    <w:p w14:paraId="2A2ED924" w14:textId="1A9F383B" w:rsidR="003B2E0A" w:rsidRDefault="006151E6" w:rsidP="003B2E0A">
      <w:pPr>
        <w:pStyle w:val="recommendation"/>
      </w:pPr>
      <w:r w:rsidRPr="006151E6">
        <w:rPr>
          <w:rStyle w:val="None"/>
        </w:rPr>
        <w:t>Regional anaesthesia procedure should be clearly documented and easily accessible in the patient’s notes.</w:t>
      </w:r>
    </w:p>
    <w:p w14:paraId="3FEE27F8" w14:textId="2CA6A6A5" w:rsidR="003B2E0A" w:rsidRPr="003B2E0A" w:rsidRDefault="003B2E0A" w:rsidP="003B2E0A">
      <w:pPr>
        <w:pStyle w:val="recommendation"/>
        <w:numPr>
          <w:ilvl w:val="0"/>
          <w:numId w:val="0"/>
        </w:numPr>
        <w:rPr>
          <w:rFonts w:eastAsia="MS ????"/>
          <w:b/>
          <w:bCs/>
          <w:color w:val="291F51" w:themeColor="accent1"/>
          <w:sz w:val="22"/>
          <w:szCs w:val="24"/>
          <w:lang w:eastAsia="ja-JP"/>
        </w:rPr>
      </w:pPr>
      <w:r>
        <w:t xml:space="preserve"> </w:t>
      </w:r>
      <w:r>
        <w:rPr>
          <w:rFonts w:eastAsia="MS ????"/>
          <w:b/>
          <w:bCs/>
          <w:color w:val="291F51" w:themeColor="accent1"/>
          <w:sz w:val="22"/>
          <w:szCs w:val="24"/>
          <w:lang w:eastAsia="ja-JP"/>
        </w:rPr>
        <w:t>Ophthalmic patients</w:t>
      </w:r>
    </w:p>
    <w:p w14:paraId="62ABD113" w14:textId="1ECBC205" w:rsidR="00504A0E" w:rsidRDefault="00504A0E" w:rsidP="003B2E0A">
      <w:pPr>
        <w:pStyle w:val="recommendation"/>
      </w:pPr>
      <w:r w:rsidRPr="00504A0E">
        <w:t xml:space="preserve">Anaesthesia for ophthalmic surgery is a specialised area of anaesthesia. </w:t>
      </w:r>
      <w:r w:rsidR="000F25DB">
        <w:t>P</w:t>
      </w:r>
      <w:r w:rsidR="00DB5F52">
        <w:t>ractitioner</w:t>
      </w:r>
      <w:r w:rsidRPr="00504A0E">
        <w:t>s</w:t>
      </w:r>
      <w:r w:rsidR="000F25DB">
        <w:t xml:space="preserve"> s</w:t>
      </w:r>
      <w:r w:rsidRPr="00504A0E">
        <w:t xml:space="preserve">hould be competent in performing ophthalmic blocks and be able to recognise and </w:t>
      </w:r>
      <w:proofErr w:type="gramStart"/>
      <w:r w:rsidRPr="00504A0E">
        <w:t>manage of</w:t>
      </w:r>
      <w:proofErr w:type="gramEnd"/>
      <w:r w:rsidRPr="00504A0E">
        <w:t xml:space="preserve"> any complications.</w:t>
      </w:r>
    </w:p>
    <w:p w14:paraId="05C941AF" w14:textId="7FF25D18" w:rsidR="003B2E0A" w:rsidRDefault="003B2E0A" w:rsidP="003B2E0A">
      <w:pPr>
        <w:pStyle w:val="recommendation"/>
      </w:pPr>
      <w:r>
        <w:t>Sharp</w:t>
      </w:r>
      <w:r w:rsidR="00396784">
        <w:t xml:space="preserve"> </w:t>
      </w:r>
      <w:proofErr w:type="gramStart"/>
      <w:r>
        <w:t>needle based</w:t>
      </w:r>
      <w:proofErr w:type="gramEnd"/>
      <w:r>
        <w:t xml:space="preserve"> blocks (e.g. peribulbar) should only be administered by medically qualified personnel.  Intravenous access should be established prior to performing sharp needle blocks. </w:t>
      </w:r>
    </w:p>
    <w:p w14:paraId="14E97B4B" w14:textId="43BC0F54" w:rsidR="003B2E0A" w:rsidRDefault="003B2E0A" w:rsidP="003B2E0A">
      <w:pPr>
        <w:pStyle w:val="recommendation"/>
      </w:pPr>
      <w:r>
        <w:t>Patients who require regional anaesthesia should undergo preoperative preparation.</w:t>
      </w:r>
    </w:p>
    <w:p w14:paraId="10A10DA0" w14:textId="5B2560B9" w:rsidR="003B2E0A" w:rsidRDefault="003B2E0A" w:rsidP="003B2E0A">
      <w:pPr>
        <w:pStyle w:val="recommendation"/>
      </w:pPr>
      <w:r>
        <w:t xml:space="preserve">Units where ophthalmic surgery is performed should be provided guidelines, </w:t>
      </w:r>
      <w:proofErr w:type="gramStart"/>
      <w:r>
        <w:t>drugs</w:t>
      </w:r>
      <w:proofErr w:type="gramEnd"/>
      <w:r>
        <w:t xml:space="preserve"> and equipment to deal with complications and emergencies such as cardiac arrest, anaphylaxis and local anaesthesia toxicity.</w:t>
      </w:r>
    </w:p>
    <w:p w14:paraId="759603CB" w14:textId="38666C13" w:rsidR="003B3969" w:rsidRDefault="003B2E0A" w:rsidP="0040352A">
      <w:pPr>
        <w:pStyle w:val="recommendation"/>
        <w:numPr>
          <w:ilvl w:val="0"/>
          <w:numId w:val="0"/>
        </w:numPr>
      </w:pPr>
      <w:r>
        <w:t xml:space="preserve">Further detailed recommendations for anaesthetic care in ophthalmic surgery can be found on </w:t>
      </w:r>
      <w:hyperlink r:id="rId22" w:history="1">
        <w:r w:rsidRPr="00095766">
          <w:rPr>
            <w:rStyle w:val="Hyperlink"/>
            <w:sz w:val="20"/>
          </w:rPr>
          <w:t>Chapter 13: Guidelines for the Provision of Ophthalmic Anaesthesia Services 202</w:t>
        </w:r>
        <w:r w:rsidR="00DB5F52" w:rsidRPr="00095766">
          <w:rPr>
            <w:rStyle w:val="Hyperlink"/>
            <w:sz w:val="20"/>
          </w:rPr>
          <w:t>4</w:t>
        </w:r>
      </w:hyperlink>
    </w:p>
    <w:p w14:paraId="1F3AC94A" w14:textId="72F76D0E" w:rsidR="0040352A" w:rsidRDefault="0040352A" w:rsidP="0040352A">
      <w:pPr>
        <w:pStyle w:val="recommendation"/>
        <w:numPr>
          <w:ilvl w:val="0"/>
          <w:numId w:val="0"/>
        </w:numPr>
        <w:rPr>
          <w:rFonts w:eastAsia="MS ????"/>
          <w:b/>
          <w:bCs/>
          <w:color w:val="291F51" w:themeColor="accent1"/>
          <w:sz w:val="22"/>
          <w:szCs w:val="24"/>
          <w:lang w:eastAsia="ja-JP"/>
        </w:rPr>
      </w:pPr>
      <w:r>
        <w:rPr>
          <w:rFonts w:eastAsia="MS ????"/>
          <w:b/>
          <w:bCs/>
          <w:color w:val="291F51" w:themeColor="accent1"/>
          <w:sz w:val="22"/>
          <w:szCs w:val="24"/>
          <w:lang w:eastAsia="ja-JP"/>
        </w:rPr>
        <w:lastRenderedPageBreak/>
        <w:t>Day Surgery</w:t>
      </w:r>
    </w:p>
    <w:p w14:paraId="4F10C19B" w14:textId="3C33BA6F" w:rsidR="0040352A" w:rsidRDefault="0040352A" w:rsidP="0040352A">
      <w:pPr>
        <w:pStyle w:val="recommendation"/>
      </w:pPr>
      <w:r w:rsidRPr="0040352A">
        <w:t xml:space="preserve">Medical, </w:t>
      </w:r>
      <w:proofErr w:type="gramStart"/>
      <w:r w:rsidRPr="0040352A">
        <w:t>surgical</w:t>
      </w:r>
      <w:proofErr w:type="gramEnd"/>
      <w:r w:rsidRPr="0040352A">
        <w:t xml:space="preserve"> and social suitability for day surgery should be assessed as part of </w:t>
      </w:r>
      <w:proofErr w:type="gramStart"/>
      <w:r w:rsidRPr="0040352A">
        <w:t>pre</w:t>
      </w:r>
      <w:proofErr w:type="gramEnd"/>
      <w:r w:rsidRPr="0040352A">
        <w:t>-operative assessment. This should ideally be within a day-case specific pre-operative assessment service</w:t>
      </w:r>
      <w:r w:rsidR="00B8118A" w:rsidRPr="00B8118A">
        <w:rPr>
          <w:vertAlign w:val="superscript"/>
        </w:rPr>
        <w:fldChar w:fldCharType="begin"/>
      </w:r>
      <w:r w:rsidR="00B8118A" w:rsidRPr="00B8118A">
        <w:rPr>
          <w:vertAlign w:val="superscript"/>
        </w:rPr>
        <w:instrText xml:space="preserve"> NOTEREF _Ref160705338 \h </w:instrText>
      </w:r>
      <w:r w:rsidR="00B8118A">
        <w:rPr>
          <w:vertAlign w:val="superscript"/>
        </w:rPr>
        <w:instrText xml:space="preserve"> \* MERGEFORMAT </w:instrText>
      </w:r>
      <w:r w:rsidR="00B8118A" w:rsidRPr="00B8118A">
        <w:rPr>
          <w:vertAlign w:val="superscript"/>
        </w:rPr>
      </w:r>
      <w:r w:rsidR="00B8118A" w:rsidRPr="00B8118A">
        <w:rPr>
          <w:vertAlign w:val="superscript"/>
        </w:rPr>
        <w:fldChar w:fldCharType="separate"/>
      </w:r>
      <w:r w:rsidR="0088690E">
        <w:rPr>
          <w:vertAlign w:val="superscript"/>
        </w:rPr>
        <w:t>54</w:t>
      </w:r>
      <w:r w:rsidR="00B8118A" w:rsidRPr="00B8118A">
        <w:rPr>
          <w:vertAlign w:val="superscript"/>
        </w:rPr>
        <w:fldChar w:fldCharType="end"/>
      </w:r>
      <w:r>
        <w:t>.</w:t>
      </w:r>
    </w:p>
    <w:p w14:paraId="52C9838F" w14:textId="53B2B1EF" w:rsidR="0040352A" w:rsidRDefault="0040352A" w:rsidP="0040352A">
      <w:pPr>
        <w:pStyle w:val="recommendation"/>
      </w:pPr>
      <w:r w:rsidRPr="0040352A">
        <w:t>All components of safe regional anaesthesia service delivery should be adhered to within day surgery environments to the same standards as within an inpatient facility.</w:t>
      </w:r>
    </w:p>
    <w:p w14:paraId="6BDB5A75" w14:textId="3B27D733" w:rsidR="0040352A" w:rsidRDefault="00883F6C" w:rsidP="0040352A">
      <w:pPr>
        <w:pStyle w:val="recommendation"/>
      </w:pPr>
      <w:r>
        <w:t xml:space="preserve">Departments should have </w:t>
      </w:r>
      <w:r w:rsidR="0040352A" w:rsidRPr="0040352A">
        <w:t>‘Awake surgery’ pathways</w:t>
      </w:r>
      <w:r>
        <w:t>, which</w:t>
      </w:r>
      <w:r w:rsidR="0040352A" w:rsidRPr="0040352A">
        <w:t xml:space="preserve"> can increase efficiency of list turnover</w:t>
      </w:r>
      <w:r>
        <w:t xml:space="preserve"> and</w:t>
      </w:r>
      <w:r w:rsidR="0040352A" w:rsidRPr="0040352A">
        <w:t xml:space="preserve"> may reduce resources required.  A ‘block room’ service delivery model where locally appropriate </w:t>
      </w:r>
      <w:r>
        <w:t>c</w:t>
      </w:r>
      <w:r w:rsidRPr="0040352A">
        <w:t xml:space="preserve">ould </w:t>
      </w:r>
      <w:r w:rsidR="0040352A" w:rsidRPr="0040352A">
        <w:t xml:space="preserve">facilitate </w:t>
      </w:r>
      <w:r w:rsidR="00AC27F8">
        <w:t>this process</w:t>
      </w:r>
      <w:r w:rsidR="0040352A" w:rsidRPr="0040352A">
        <w:t>.</w:t>
      </w:r>
    </w:p>
    <w:p w14:paraId="49E7F675" w14:textId="5AF78127" w:rsidR="0040352A" w:rsidRDefault="00883F6C" w:rsidP="0040352A">
      <w:pPr>
        <w:pStyle w:val="recommendation"/>
      </w:pPr>
      <w:r>
        <w:t>Policies should acknowledge that p</w:t>
      </w:r>
      <w:r w:rsidR="0040352A" w:rsidRPr="0040352A">
        <w:t>atients who undergo surgery under regional anaesthesia without GA may be suitable to bypass the Acute/Stage 1 recovery area after surgery and proceed directly to secondary recovery prior to discharge home</w:t>
      </w:r>
      <w:r w:rsidR="00B8118A">
        <w:rPr>
          <w:rStyle w:val="EndnoteReference"/>
        </w:rPr>
        <w:endnoteReference w:id="65"/>
      </w:r>
      <w:r w:rsidR="0040352A">
        <w:t>.</w:t>
      </w:r>
    </w:p>
    <w:p w14:paraId="40541B76" w14:textId="1372791E" w:rsidR="0040352A" w:rsidRDefault="00883F6C" w:rsidP="0040352A">
      <w:pPr>
        <w:pStyle w:val="recommendation"/>
      </w:pPr>
      <w:r>
        <w:t>L</w:t>
      </w:r>
      <w:r w:rsidRPr="0040352A">
        <w:t>ocally agreed same-day discharge pathways</w:t>
      </w:r>
      <w:r>
        <w:t xml:space="preserve"> should consider incorporating</w:t>
      </w:r>
      <w:r w:rsidRPr="0040352A">
        <w:t xml:space="preserve"> </w:t>
      </w:r>
      <w:r>
        <w:t>l</w:t>
      </w:r>
      <w:r w:rsidR="0040352A" w:rsidRPr="0040352A">
        <w:t>ocal anaesthesia infusion devices and catheters where follow up systems and protocols allow this to be done safely. There should be appropriate staff and patient education in their use and in the detection and management of complications.</w:t>
      </w:r>
    </w:p>
    <w:p w14:paraId="51537D6F" w14:textId="3341C4D7" w:rsidR="0040352A" w:rsidRDefault="0040352A" w:rsidP="0040352A">
      <w:pPr>
        <w:pStyle w:val="recommendation"/>
      </w:pPr>
      <w:r w:rsidRPr="0040352A">
        <w:t>Where spinal anaesthesia is used in day-surgery, nursing staff should be trained in the safe mobilization of patients after spinal anaesthesia (2) prior to nurse led discharge. Information on post-dural puncture headache and what to do if this occurs should be included in the patients discharge instructions.</w:t>
      </w:r>
    </w:p>
    <w:p w14:paraId="33C92273" w14:textId="26B34F3C" w:rsidR="0040352A" w:rsidRDefault="0040352A" w:rsidP="0040352A">
      <w:pPr>
        <w:pStyle w:val="recommendation"/>
      </w:pPr>
      <w:r w:rsidRPr="0040352A">
        <w:t>Post-operative patient education and written information should be provided prior to discharge as described in the ‘postoperative period’ section of this document, regarding care of the insensate limb, expected sensation and motor recovery trajectory, pre-emptive analgesia plan, and how and when to seek help.</w:t>
      </w:r>
    </w:p>
    <w:p w14:paraId="649BE693" w14:textId="73AB0BFC" w:rsidR="0040352A" w:rsidRDefault="0040352A" w:rsidP="0040352A">
      <w:pPr>
        <w:pStyle w:val="recommendation"/>
      </w:pPr>
      <w:r w:rsidRPr="0040352A">
        <w:t>Staff undertaking day surgery patient follow up or answering patient helpline calls should be aware of local departmental guidance related to peripheral nerve block follow up and initial management of unexpected/persistent neurological dysfunction.</w:t>
      </w:r>
    </w:p>
    <w:p w14:paraId="661A6FAA" w14:textId="0C79FCF7" w:rsidR="0040352A" w:rsidRDefault="0040352A" w:rsidP="0040352A">
      <w:pPr>
        <w:pStyle w:val="recommendation"/>
        <w:numPr>
          <w:ilvl w:val="0"/>
          <w:numId w:val="0"/>
        </w:numPr>
      </w:pPr>
      <w:r w:rsidRPr="0040352A">
        <w:t xml:space="preserve">Further detailed recommendations for anaesthetic care in ophthalmic surgery can be found on </w:t>
      </w:r>
      <w:hyperlink r:id="rId23" w:history="1">
        <w:r w:rsidRPr="0040352A">
          <w:rPr>
            <w:rStyle w:val="Hyperlink"/>
            <w:sz w:val="20"/>
          </w:rPr>
          <w:t>Chapter 6: Guidelines for the Provision of Anaesthesia Services for Day surgery 2024.</w:t>
        </w:r>
      </w:hyperlink>
    </w:p>
    <w:p w14:paraId="067A6D93" w14:textId="51384F7C" w:rsidR="00547751" w:rsidRDefault="00B4380E" w:rsidP="00547751">
      <w:pPr>
        <w:pStyle w:val="Heading2"/>
      </w:pPr>
      <w:r>
        <w:t>9</w:t>
      </w:r>
      <w:r w:rsidR="00547751">
        <w:t xml:space="preserve">       Implementation support </w:t>
      </w:r>
    </w:p>
    <w:p w14:paraId="0B856D88" w14:textId="3318D300" w:rsidR="00883F6C" w:rsidRPr="00883F6C" w:rsidRDefault="00883F6C" w:rsidP="00883F6C">
      <w:pPr>
        <w:rPr>
          <w:szCs w:val="20"/>
          <w:lang w:val="en-GB"/>
        </w:rPr>
      </w:pPr>
      <w:r w:rsidRPr="00883F6C">
        <w:rPr>
          <w:szCs w:val="20"/>
          <w:lang w:val="en-GB"/>
        </w:rPr>
        <w:t>The Anaesthesia Clinical Services Accreditation (ACSA) scheme, run by the RCoA, provides a set of standards based on the recommendations contained in the GPAS chapters. As part of the scheme, departments of anaesthesia self-assess against the standards and undertake quality improvement projects to close the gap. Support is provided by the RCoA in the form of the good practice library, which shares documents and ideas from other departments on how to meet the standards. Further advice can be obtained from the ACSA team and department’s assigned College guide.</w:t>
      </w:r>
    </w:p>
    <w:p w14:paraId="18C7A066" w14:textId="77777777" w:rsidR="00883F6C" w:rsidRPr="00883F6C" w:rsidRDefault="00883F6C" w:rsidP="00883F6C">
      <w:pPr>
        <w:rPr>
          <w:szCs w:val="20"/>
          <w:lang w:val="en-GB"/>
        </w:rPr>
      </w:pPr>
      <w:r w:rsidRPr="00883F6C">
        <w:rPr>
          <w:szCs w:val="20"/>
          <w:lang w:val="en-GB"/>
        </w:rPr>
        <w:t>The ACSA standards are regularly reviewed on at least a three yearly basis to ensure that they reflect current GPAS recommendations and good practice. This feedback process works both ways and the ACSA scheme regularly provides CDGs with comments on the GPAS recommendations, based on departments’ experience of implementing the recommendations.</w:t>
      </w:r>
    </w:p>
    <w:p w14:paraId="3D61200D" w14:textId="3B8E8086" w:rsidR="00883F6C" w:rsidRPr="00883F6C" w:rsidRDefault="00883F6C" w:rsidP="00883F6C">
      <w:pPr>
        <w:rPr>
          <w:szCs w:val="20"/>
          <w:lang w:val="en-GB"/>
        </w:rPr>
      </w:pPr>
      <w:r w:rsidRPr="00883F6C">
        <w:rPr>
          <w:szCs w:val="20"/>
          <w:lang w:val="en-GB"/>
        </w:rPr>
        <w:t>Further information about the ACSA scheme can be found here: </w:t>
      </w:r>
      <w:hyperlink r:id="rId24" w:history="1">
        <w:r w:rsidRPr="00883F6C">
          <w:rPr>
            <w:rStyle w:val="Hyperlink"/>
            <w:sz w:val="20"/>
            <w:szCs w:val="20"/>
            <w:lang w:val="en-GB"/>
          </w:rPr>
          <w:t>https://www.rcoa.ac.uk/safety-standards-quality/anaesthesia-clinical-services-accreditation</w:t>
        </w:r>
      </w:hyperlink>
    </w:p>
    <w:p w14:paraId="5AE414D0" w14:textId="088CC8BD" w:rsidR="00024783" w:rsidRPr="009D1CC5" w:rsidRDefault="00024783" w:rsidP="0048790A">
      <w:pPr>
        <w:pStyle w:val="Heading2"/>
      </w:pPr>
      <w:bookmarkStart w:id="26" w:name="bookmark0"/>
      <w:bookmarkEnd w:id="26"/>
      <w:r w:rsidRPr="009D1CC5">
        <w:lastRenderedPageBreak/>
        <w:t xml:space="preserve">Areas for future development </w:t>
      </w:r>
    </w:p>
    <w:p w14:paraId="203F546C" w14:textId="31A110A2" w:rsidR="00BA36B1" w:rsidRPr="003A554A" w:rsidRDefault="003A554A" w:rsidP="00BA36B1">
      <w:pPr>
        <w:pStyle w:val="Bullets0"/>
        <w:spacing w:after="200"/>
      </w:pPr>
      <w:r w:rsidRPr="003A554A">
        <w:t>Following the systematic review of the evidence, the following areas of research are suggested:</w:t>
      </w:r>
    </w:p>
    <w:p w14:paraId="5287F53E" w14:textId="5BC40CC8" w:rsidR="00BA36B1" w:rsidRPr="00547751" w:rsidRDefault="00504A0E" w:rsidP="00547751">
      <w:pPr>
        <w:pStyle w:val="bullet2"/>
        <w:rPr>
          <w:b/>
          <w:bCs/>
          <w:color w:val="FF0000"/>
        </w:rPr>
      </w:pPr>
      <w:r>
        <w:rPr>
          <w:b/>
          <w:bCs/>
          <w:color w:val="FF0000"/>
        </w:rPr>
        <w:t>TBC</w:t>
      </w:r>
    </w:p>
    <w:p w14:paraId="57261886" w14:textId="77777777" w:rsidR="00B815A7" w:rsidRPr="009D1CC5" w:rsidRDefault="00B815A7" w:rsidP="00B815A7">
      <w:pPr>
        <w:pStyle w:val="Heading2"/>
      </w:pPr>
      <w:commentRangeStart w:id="27"/>
      <w:r w:rsidRPr="009D1CC5">
        <w:t>Abbreviations</w:t>
      </w:r>
      <w:commentRangeEnd w:id="27"/>
      <w:r w:rsidR="00566925">
        <w:rPr>
          <w:rStyle w:val="CommentReference"/>
          <w:rFonts w:eastAsia="Calibri"/>
          <w:b w:val="0"/>
          <w:bCs w:val="0"/>
          <w:color w:val="auto"/>
        </w:rPr>
        <w:commentReference w:id="27"/>
      </w:r>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7"/>
        <w:gridCol w:w="7102"/>
      </w:tblGrid>
      <w:tr w:rsidR="00B815A7" w:rsidRPr="00232EF4" w14:paraId="722E8720" w14:textId="77777777" w:rsidTr="009143FF">
        <w:trPr>
          <w:trHeight w:val="227"/>
        </w:trPr>
        <w:tc>
          <w:tcPr>
            <w:tcW w:w="1807" w:type="dxa"/>
          </w:tcPr>
          <w:p w14:paraId="7155BC45" w14:textId="77777777" w:rsidR="00B815A7" w:rsidRPr="00232EF4" w:rsidRDefault="00B815A7" w:rsidP="00800BF9">
            <w:pPr>
              <w:rPr>
                <w:szCs w:val="18"/>
              </w:rPr>
            </w:pPr>
            <w:r w:rsidRPr="00232EF4">
              <w:rPr>
                <w:szCs w:val="18"/>
              </w:rPr>
              <w:t>ACSA</w:t>
            </w:r>
          </w:p>
        </w:tc>
        <w:tc>
          <w:tcPr>
            <w:tcW w:w="7102" w:type="dxa"/>
          </w:tcPr>
          <w:p w14:paraId="01248C7F" w14:textId="77777777" w:rsidR="00B815A7" w:rsidRPr="00232EF4" w:rsidRDefault="00B815A7" w:rsidP="00800BF9">
            <w:pPr>
              <w:rPr>
                <w:szCs w:val="18"/>
              </w:rPr>
            </w:pPr>
            <w:r w:rsidRPr="00232EF4">
              <w:rPr>
                <w:szCs w:val="18"/>
              </w:rPr>
              <w:t>Anaesthesia Clinical Services Accreditation</w:t>
            </w:r>
          </w:p>
        </w:tc>
      </w:tr>
      <w:tr w:rsidR="00B815A7" w:rsidRPr="00232EF4" w14:paraId="264350CC" w14:textId="77777777" w:rsidTr="009143FF">
        <w:trPr>
          <w:trHeight w:val="227"/>
        </w:trPr>
        <w:tc>
          <w:tcPr>
            <w:tcW w:w="1807" w:type="dxa"/>
          </w:tcPr>
          <w:p w14:paraId="7B455FF1" w14:textId="77777777" w:rsidR="00B815A7" w:rsidRPr="00232EF4" w:rsidRDefault="00B815A7" w:rsidP="00800BF9">
            <w:pPr>
              <w:rPr>
                <w:szCs w:val="18"/>
              </w:rPr>
            </w:pPr>
            <w:r w:rsidRPr="00232EF4">
              <w:rPr>
                <w:szCs w:val="18"/>
              </w:rPr>
              <w:t>CDG</w:t>
            </w:r>
          </w:p>
        </w:tc>
        <w:tc>
          <w:tcPr>
            <w:tcW w:w="7102" w:type="dxa"/>
          </w:tcPr>
          <w:p w14:paraId="2F7E95BD" w14:textId="77777777" w:rsidR="00B815A7" w:rsidRPr="00232EF4" w:rsidRDefault="00B815A7" w:rsidP="00800BF9">
            <w:pPr>
              <w:rPr>
                <w:szCs w:val="18"/>
              </w:rPr>
            </w:pPr>
            <w:r w:rsidRPr="00232EF4">
              <w:rPr>
                <w:szCs w:val="18"/>
              </w:rPr>
              <w:t>Chapter Development Group</w:t>
            </w:r>
          </w:p>
        </w:tc>
      </w:tr>
      <w:tr w:rsidR="00B815A7" w:rsidRPr="00232EF4" w14:paraId="05BAF0C0" w14:textId="77777777" w:rsidTr="009143FF">
        <w:trPr>
          <w:trHeight w:val="227"/>
        </w:trPr>
        <w:tc>
          <w:tcPr>
            <w:tcW w:w="1807" w:type="dxa"/>
          </w:tcPr>
          <w:p w14:paraId="051CF84F" w14:textId="77777777" w:rsidR="00B815A7" w:rsidRPr="00232EF4" w:rsidRDefault="00B815A7" w:rsidP="00800BF9">
            <w:pPr>
              <w:rPr>
                <w:szCs w:val="18"/>
              </w:rPr>
            </w:pPr>
            <w:r w:rsidRPr="00232EF4">
              <w:rPr>
                <w:szCs w:val="18"/>
              </w:rPr>
              <w:t>CQC</w:t>
            </w:r>
          </w:p>
        </w:tc>
        <w:tc>
          <w:tcPr>
            <w:tcW w:w="7102" w:type="dxa"/>
          </w:tcPr>
          <w:p w14:paraId="436E9E47" w14:textId="77777777" w:rsidR="00B815A7" w:rsidRPr="00232EF4" w:rsidRDefault="00B815A7" w:rsidP="00800BF9">
            <w:pPr>
              <w:rPr>
                <w:szCs w:val="18"/>
              </w:rPr>
            </w:pPr>
            <w:r w:rsidRPr="00232EF4">
              <w:rPr>
                <w:szCs w:val="18"/>
              </w:rPr>
              <w:t>Care Quality Commission</w:t>
            </w:r>
          </w:p>
        </w:tc>
      </w:tr>
      <w:tr w:rsidR="00B815A7" w:rsidRPr="00232EF4" w14:paraId="18CC70FE" w14:textId="77777777" w:rsidTr="009143FF">
        <w:trPr>
          <w:trHeight w:val="227"/>
        </w:trPr>
        <w:tc>
          <w:tcPr>
            <w:tcW w:w="1807" w:type="dxa"/>
          </w:tcPr>
          <w:p w14:paraId="6DCAC0E3" w14:textId="77777777" w:rsidR="00B815A7" w:rsidRPr="00232EF4" w:rsidRDefault="00B815A7" w:rsidP="00800BF9">
            <w:pPr>
              <w:rPr>
                <w:szCs w:val="18"/>
              </w:rPr>
            </w:pPr>
            <w:r w:rsidRPr="00232EF4">
              <w:rPr>
                <w:szCs w:val="18"/>
              </w:rPr>
              <w:t>GMC</w:t>
            </w:r>
          </w:p>
        </w:tc>
        <w:tc>
          <w:tcPr>
            <w:tcW w:w="7102" w:type="dxa"/>
          </w:tcPr>
          <w:p w14:paraId="1656BE3A" w14:textId="77777777" w:rsidR="00B815A7" w:rsidRPr="00232EF4" w:rsidRDefault="00B815A7" w:rsidP="00800BF9">
            <w:pPr>
              <w:rPr>
                <w:szCs w:val="18"/>
              </w:rPr>
            </w:pPr>
            <w:r w:rsidRPr="00232EF4">
              <w:rPr>
                <w:szCs w:val="18"/>
              </w:rPr>
              <w:t>General Medical Council</w:t>
            </w:r>
          </w:p>
        </w:tc>
      </w:tr>
      <w:tr w:rsidR="00B815A7" w:rsidRPr="00232EF4" w14:paraId="026FA1DA" w14:textId="77777777" w:rsidTr="009143FF">
        <w:trPr>
          <w:trHeight w:val="227"/>
        </w:trPr>
        <w:tc>
          <w:tcPr>
            <w:tcW w:w="1807" w:type="dxa"/>
          </w:tcPr>
          <w:p w14:paraId="76178368" w14:textId="77777777" w:rsidR="00B815A7" w:rsidRPr="00232EF4" w:rsidRDefault="00B815A7" w:rsidP="00800BF9">
            <w:pPr>
              <w:rPr>
                <w:szCs w:val="18"/>
              </w:rPr>
            </w:pPr>
            <w:r w:rsidRPr="00232EF4">
              <w:rPr>
                <w:szCs w:val="18"/>
              </w:rPr>
              <w:t>GPAS</w:t>
            </w:r>
          </w:p>
        </w:tc>
        <w:tc>
          <w:tcPr>
            <w:tcW w:w="7102" w:type="dxa"/>
          </w:tcPr>
          <w:p w14:paraId="7F192364" w14:textId="77777777" w:rsidR="00B815A7" w:rsidRPr="00232EF4" w:rsidRDefault="00B815A7" w:rsidP="00800BF9">
            <w:pPr>
              <w:rPr>
                <w:szCs w:val="18"/>
              </w:rPr>
            </w:pPr>
            <w:r w:rsidRPr="00232EF4">
              <w:rPr>
                <w:szCs w:val="18"/>
              </w:rPr>
              <w:t>Guidelines for the Provision of Anaesthetic Services</w:t>
            </w:r>
          </w:p>
        </w:tc>
      </w:tr>
      <w:tr w:rsidR="00B815A7" w:rsidRPr="00232EF4" w14:paraId="63A28E4C" w14:textId="77777777" w:rsidTr="009143FF">
        <w:trPr>
          <w:trHeight w:val="227"/>
        </w:trPr>
        <w:tc>
          <w:tcPr>
            <w:tcW w:w="1807" w:type="dxa"/>
          </w:tcPr>
          <w:p w14:paraId="0FA0D8AD" w14:textId="77777777" w:rsidR="00B815A7" w:rsidRPr="00232EF4" w:rsidRDefault="00B815A7" w:rsidP="00800BF9">
            <w:pPr>
              <w:rPr>
                <w:szCs w:val="18"/>
              </w:rPr>
            </w:pPr>
            <w:r w:rsidRPr="00232EF4">
              <w:rPr>
                <w:szCs w:val="18"/>
              </w:rPr>
              <w:t>GPICS</w:t>
            </w:r>
          </w:p>
        </w:tc>
        <w:tc>
          <w:tcPr>
            <w:tcW w:w="7102" w:type="dxa"/>
          </w:tcPr>
          <w:p w14:paraId="28A52C55" w14:textId="77777777" w:rsidR="00B815A7" w:rsidRPr="00232EF4" w:rsidRDefault="00B815A7" w:rsidP="00800BF9">
            <w:pPr>
              <w:rPr>
                <w:szCs w:val="18"/>
              </w:rPr>
            </w:pPr>
            <w:r w:rsidRPr="00232EF4">
              <w:rPr>
                <w:szCs w:val="18"/>
              </w:rPr>
              <w:t>Guidelines for the Provision of Intensive Care Services</w:t>
            </w:r>
          </w:p>
        </w:tc>
      </w:tr>
      <w:tr w:rsidR="00B815A7" w:rsidRPr="00232EF4" w14:paraId="00513383" w14:textId="77777777" w:rsidTr="009143FF">
        <w:trPr>
          <w:trHeight w:val="227"/>
        </w:trPr>
        <w:tc>
          <w:tcPr>
            <w:tcW w:w="1807" w:type="dxa"/>
          </w:tcPr>
          <w:p w14:paraId="4D0A3BE3" w14:textId="77777777" w:rsidR="00B815A7" w:rsidRPr="00232EF4" w:rsidRDefault="00B815A7" w:rsidP="00800BF9">
            <w:pPr>
              <w:rPr>
                <w:szCs w:val="18"/>
              </w:rPr>
            </w:pPr>
            <w:r w:rsidRPr="00232EF4">
              <w:rPr>
                <w:szCs w:val="18"/>
              </w:rPr>
              <w:t>HDU</w:t>
            </w:r>
          </w:p>
        </w:tc>
        <w:tc>
          <w:tcPr>
            <w:tcW w:w="7102" w:type="dxa"/>
          </w:tcPr>
          <w:p w14:paraId="1CA851A7" w14:textId="77777777" w:rsidR="00B815A7" w:rsidRPr="00232EF4" w:rsidRDefault="00B815A7" w:rsidP="00800BF9">
            <w:pPr>
              <w:rPr>
                <w:szCs w:val="18"/>
              </w:rPr>
            </w:pPr>
            <w:r w:rsidRPr="00232EF4">
              <w:rPr>
                <w:szCs w:val="18"/>
              </w:rPr>
              <w:t>High dependency unit</w:t>
            </w:r>
          </w:p>
        </w:tc>
      </w:tr>
      <w:tr w:rsidR="00B815A7" w:rsidRPr="00232EF4" w14:paraId="5E06A72A" w14:textId="77777777" w:rsidTr="009143FF">
        <w:trPr>
          <w:trHeight w:val="227"/>
        </w:trPr>
        <w:tc>
          <w:tcPr>
            <w:tcW w:w="1807" w:type="dxa"/>
          </w:tcPr>
          <w:p w14:paraId="4631D2C6" w14:textId="77777777" w:rsidR="00B815A7" w:rsidRPr="00232EF4" w:rsidRDefault="00B815A7" w:rsidP="00800BF9">
            <w:pPr>
              <w:rPr>
                <w:szCs w:val="18"/>
              </w:rPr>
            </w:pPr>
            <w:r w:rsidRPr="00232EF4">
              <w:rPr>
                <w:szCs w:val="18"/>
              </w:rPr>
              <w:t>ICU</w:t>
            </w:r>
          </w:p>
        </w:tc>
        <w:tc>
          <w:tcPr>
            <w:tcW w:w="7102" w:type="dxa"/>
          </w:tcPr>
          <w:p w14:paraId="006FD9E4" w14:textId="77777777" w:rsidR="00B815A7" w:rsidRPr="00232EF4" w:rsidRDefault="00B815A7" w:rsidP="00800BF9">
            <w:pPr>
              <w:rPr>
                <w:szCs w:val="18"/>
              </w:rPr>
            </w:pPr>
            <w:r w:rsidRPr="00232EF4">
              <w:rPr>
                <w:szCs w:val="18"/>
              </w:rPr>
              <w:t>Intensive care unit</w:t>
            </w:r>
          </w:p>
        </w:tc>
      </w:tr>
      <w:tr w:rsidR="00B815A7" w:rsidRPr="00232EF4" w14:paraId="451AB77D" w14:textId="77777777" w:rsidTr="009143FF">
        <w:trPr>
          <w:trHeight w:val="227"/>
        </w:trPr>
        <w:tc>
          <w:tcPr>
            <w:tcW w:w="1807" w:type="dxa"/>
          </w:tcPr>
          <w:p w14:paraId="4047DDF6" w14:textId="77777777" w:rsidR="00B815A7" w:rsidRPr="00232EF4" w:rsidRDefault="00B815A7" w:rsidP="00800BF9">
            <w:pPr>
              <w:rPr>
                <w:szCs w:val="18"/>
              </w:rPr>
            </w:pPr>
            <w:bookmarkStart w:id="28" w:name="_Hlk507771947"/>
            <w:r w:rsidRPr="00232EF4">
              <w:rPr>
                <w:szCs w:val="18"/>
              </w:rPr>
              <w:t>NHS</w:t>
            </w:r>
          </w:p>
        </w:tc>
        <w:tc>
          <w:tcPr>
            <w:tcW w:w="7102" w:type="dxa"/>
          </w:tcPr>
          <w:p w14:paraId="201AF44B" w14:textId="77777777" w:rsidR="00B815A7" w:rsidRPr="00232EF4" w:rsidRDefault="00B815A7" w:rsidP="00800BF9">
            <w:pPr>
              <w:rPr>
                <w:szCs w:val="18"/>
              </w:rPr>
            </w:pPr>
            <w:r w:rsidRPr="00232EF4">
              <w:rPr>
                <w:szCs w:val="18"/>
              </w:rPr>
              <w:t>National Health Service</w:t>
            </w:r>
          </w:p>
        </w:tc>
      </w:tr>
      <w:tr w:rsidR="00B815A7" w:rsidRPr="00232EF4" w14:paraId="2EAF094C" w14:textId="77777777" w:rsidTr="009143FF">
        <w:trPr>
          <w:trHeight w:val="227"/>
        </w:trPr>
        <w:tc>
          <w:tcPr>
            <w:tcW w:w="1807" w:type="dxa"/>
          </w:tcPr>
          <w:p w14:paraId="2CFE12E0" w14:textId="77777777" w:rsidR="00B815A7" w:rsidRPr="00232EF4" w:rsidRDefault="00B815A7" w:rsidP="00800BF9">
            <w:pPr>
              <w:rPr>
                <w:szCs w:val="18"/>
              </w:rPr>
            </w:pPr>
            <w:r w:rsidRPr="00232EF4">
              <w:rPr>
                <w:szCs w:val="18"/>
              </w:rPr>
              <w:t>NICE</w:t>
            </w:r>
          </w:p>
        </w:tc>
        <w:tc>
          <w:tcPr>
            <w:tcW w:w="7102" w:type="dxa"/>
          </w:tcPr>
          <w:p w14:paraId="2A26D466" w14:textId="77777777" w:rsidR="00B815A7" w:rsidRPr="00232EF4" w:rsidRDefault="00B815A7" w:rsidP="00800BF9">
            <w:pPr>
              <w:rPr>
                <w:szCs w:val="18"/>
              </w:rPr>
            </w:pPr>
            <w:r w:rsidRPr="00232EF4">
              <w:rPr>
                <w:szCs w:val="18"/>
              </w:rPr>
              <w:t>National Institute for Health and Care Excellence</w:t>
            </w:r>
          </w:p>
        </w:tc>
      </w:tr>
      <w:bookmarkEnd w:id="28"/>
      <w:tr w:rsidR="00B815A7" w:rsidRPr="00232EF4" w14:paraId="10F42110" w14:textId="77777777" w:rsidTr="009143FF">
        <w:trPr>
          <w:trHeight w:val="227"/>
        </w:trPr>
        <w:tc>
          <w:tcPr>
            <w:tcW w:w="1807" w:type="dxa"/>
          </w:tcPr>
          <w:p w14:paraId="13234857" w14:textId="77777777" w:rsidR="00B815A7" w:rsidRPr="00232EF4" w:rsidRDefault="00B815A7" w:rsidP="00800BF9">
            <w:pPr>
              <w:rPr>
                <w:szCs w:val="18"/>
              </w:rPr>
            </w:pPr>
            <w:r w:rsidRPr="00232EF4">
              <w:rPr>
                <w:szCs w:val="18"/>
              </w:rPr>
              <w:t>RCoA</w:t>
            </w:r>
          </w:p>
        </w:tc>
        <w:tc>
          <w:tcPr>
            <w:tcW w:w="7102" w:type="dxa"/>
          </w:tcPr>
          <w:p w14:paraId="4B9AE947" w14:textId="77777777" w:rsidR="00B815A7" w:rsidRPr="00232EF4" w:rsidRDefault="00B815A7" w:rsidP="00800BF9">
            <w:pPr>
              <w:rPr>
                <w:szCs w:val="18"/>
              </w:rPr>
            </w:pPr>
            <w:r w:rsidRPr="00232EF4">
              <w:rPr>
                <w:szCs w:val="18"/>
              </w:rPr>
              <w:t>Royal College of Anaesthetists</w:t>
            </w:r>
          </w:p>
        </w:tc>
      </w:tr>
      <w:tr w:rsidR="00B815A7" w:rsidRPr="00232EF4" w14:paraId="1559903F" w14:textId="77777777" w:rsidTr="009143FF">
        <w:trPr>
          <w:trHeight w:val="227"/>
        </w:trPr>
        <w:tc>
          <w:tcPr>
            <w:tcW w:w="1807" w:type="dxa"/>
          </w:tcPr>
          <w:p w14:paraId="7BA223AB" w14:textId="77777777" w:rsidR="00B815A7" w:rsidRPr="00232EF4" w:rsidRDefault="00B815A7" w:rsidP="00800BF9">
            <w:pPr>
              <w:rPr>
                <w:szCs w:val="18"/>
              </w:rPr>
            </w:pPr>
            <w:r w:rsidRPr="00232EF4">
              <w:rPr>
                <w:szCs w:val="18"/>
              </w:rPr>
              <w:t>SAS</w:t>
            </w:r>
          </w:p>
        </w:tc>
        <w:tc>
          <w:tcPr>
            <w:tcW w:w="7102" w:type="dxa"/>
          </w:tcPr>
          <w:p w14:paraId="163F4C29" w14:textId="56C6C7D3" w:rsidR="00B815A7" w:rsidRPr="00232EF4" w:rsidRDefault="003A554A" w:rsidP="00800BF9">
            <w:pPr>
              <w:rPr>
                <w:szCs w:val="18"/>
              </w:rPr>
            </w:pPr>
            <w:r>
              <w:rPr>
                <w:szCs w:val="18"/>
              </w:rPr>
              <w:t>Staff grade, associate</w:t>
            </w:r>
            <w:r w:rsidR="00B815A7" w:rsidRPr="00232EF4">
              <w:rPr>
                <w:szCs w:val="18"/>
              </w:rPr>
              <w:t xml:space="preserve"> </w:t>
            </w:r>
            <w:proofErr w:type="gramStart"/>
            <w:r w:rsidR="00B815A7" w:rsidRPr="00232EF4">
              <w:rPr>
                <w:szCs w:val="18"/>
              </w:rPr>
              <w:t>specialist</w:t>
            </w:r>
            <w:proofErr w:type="gramEnd"/>
            <w:r>
              <w:rPr>
                <w:szCs w:val="18"/>
              </w:rPr>
              <w:t xml:space="preserve"> and specialty doctor</w:t>
            </w:r>
          </w:p>
        </w:tc>
      </w:tr>
    </w:tbl>
    <w:p w14:paraId="51477E86" w14:textId="77777777" w:rsidR="00B815A7" w:rsidRDefault="00B815A7" w:rsidP="00B815A7">
      <w:pPr>
        <w:pStyle w:val="Heading2"/>
      </w:pPr>
      <w:bookmarkStart w:id="29" w:name="_Glossary"/>
      <w:bookmarkEnd w:id="29"/>
      <w:r w:rsidRPr="009D1CC5">
        <w:t>Glossary</w:t>
      </w:r>
    </w:p>
    <w:p w14:paraId="317BFC39" w14:textId="1DDBA9E5" w:rsidR="00547751" w:rsidRPr="00547751" w:rsidRDefault="00547751" w:rsidP="00B815A7">
      <w:pPr>
        <w:rPr>
          <w:color w:val="000000" w:themeColor="text1"/>
        </w:rPr>
      </w:pPr>
      <w:r>
        <w:rPr>
          <w:b/>
          <w:color w:val="291F51" w:themeColor="accent1"/>
        </w:rPr>
        <w:t>A</w:t>
      </w:r>
      <w:r w:rsidRPr="009C1EF7">
        <w:rPr>
          <w:b/>
          <w:color w:val="291F51" w:themeColor="accent1"/>
        </w:rPr>
        <w:t>utonomously practising anaesthetist</w:t>
      </w:r>
      <w:r>
        <w:rPr>
          <w:b/>
          <w:color w:val="291F51" w:themeColor="accent1"/>
        </w:rPr>
        <w:t xml:space="preserve"> </w:t>
      </w:r>
      <w:r>
        <w:t>–</w:t>
      </w:r>
      <w:r>
        <w:rPr>
          <w:b/>
          <w:color w:val="291F51" w:themeColor="accent1"/>
        </w:rPr>
        <w:t xml:space="preserve"> </w:t>
      </w:r>
      <w:r w:rsidRPr="009C1EF7">
        <w:rPr>
          <w:color w:val="000000" w:themeColor="text1"/>
        </w:rPr>
        <w:t xml:space="preserve">a consultant or a staff grade, associate </w:t>
      </w:r>
      <w:proofErr w:type="gramStart"/>
      <w:r w:rsidRPr="009C1EF7">
        <w:rPr>
          <w:color w:val="000000" w:themeColor="text1"/>
        </w:rPr>
        <w:t>specialist</w:t>
      </w:r>
      <w:proofErr w:type="gramEnd"/>
      <w:r w:rsidRPr="009C1EF7">
        <w:rPr>
          <w:color w:val="000000" w:themeColor="text1"/>
        </w:rPr>
        <w:t xml:space="preserve"> or specialty (SAS) doctor who can function autonomously to a level of defined competencies, as agreed within local clinical governance frameworks.</w:t>
      </w:r>
    </w:p>
    <w:p w14:paraId="6A2373D3" w14:textId="35F3FE60" w:rsidR="00BA36B1" w:rsidRPr="00BA36B1" w:rsidRDefault="00BA36B1" w:rsidP="00B815A7">
      <w:r w:rsidRPr="00BA36B1">
        <w:rPr>
          <w:b/>
          <w:color w:val="291F51" w:themeColor="accent1"/>
        </w:rPr>
        <w:t xml:space="preserve">Clinical lead </w:t>
      </w:r>
      <w:r>
        <w:t>–</w:t>
      </w:r>
      <w:r w:rsidRPr="00BA36B1">
        <w:rPr>
          <w:b/>
        </w:rPr>
        <w:t xml:space="preserve"> </w:t>
      </w:r>
      <w:r w:rsidRPr="00BA36B1">
        <w:t>SAS doctors undertaking lead roles should be autonomously practi</w:t>
      </w:r>
      <w:r w:rsidR="00060E13">
        <w:t>s</w:t>
      </w:r>
      <w:r w:rsidRPr="00BA36B1">
        <w:t xml:space="preserve">ing doctors who have competence, </w:t>
      </w:r>
      <w:proofErr w:type="gramStart"/>
      <w:r w:rsidRPr="00BA36B1">
        <w:t>experience</w:t>
      </w:r>
      <w:proofErr w:type="gramEnd"/>
      <w:r w:rsidRPr="00BA36B1">
        <w:t xml:space="preserve"> and communication skills in the specialist area equivalent to consultant colleagues. They should usually have experience in teaching and education relevant to the role and they should participate in </w:t>
      </w:r>
      <w:r w:rsidR="00060E13">
        <w:t>q</w:t>
      </w:r>
      <w:r w:rsidRPr="00BA36B1">
        <w:t xml:space="preserve">uality Improvement and </w:t>
      </w:r>
      <w:r w:rsidR="00060E13">
        <w:t xml:space="preserve">continuing professional development </w:t>
      </w:r>
      <w:r w:rsidRPr="00BA36B1">
        <w:t xml:space="preserve">activities. Individuals should be fully supported by their </w:t>
      </w:r>
      <w:r w:rsidR="00060E13">
        <w:t>c</w:t>
      </w:r>
      <w:r w:rsidRPr="00BA36B1">
        <w:t xml:space="preserve">linical </w:t>
      </w:r>
      <w:r w:rsidR="00060E13">
        <w:t>d</w:t>
      </w:r>
      <w:r w:rsidRPr="00BA36B1">
        <w:t>irector and be provided with adequate time and resources to allow them to effectively undertake the lead role</w:t>
      </w:r>
    </w:p>
    <w:p w14:paraId="3ECDAE26" w14:textId="21C05256" w:rsidR="00B815A7" w:rsidRPr="00232EF4" w:rsidRDefault="00B815A7" w:rsidP="00B815A7">
      <w:r w:rsidRPr="00BA36B1">
        <w:rPr>
          <w:b/>
          <w:color w:val="291F51" w:themeColor="accent1"/>
        </w:rPr>
        <w:t>Immediately</w:t>
      </w:r>
      <w:r>
        <w:t xml:space="preserve"> – </w:t>
      </w:r>
      <w:r w:rsidRPr="00EE49AA">
        <w:t>Unless otherwise defined, ‘immediately’ means within five minutes</w:t>
      </w:r>
      <w:r>
        <w:t>.</w:t>
      </w:r>
    </w:p>
    <w:p w14:paraId="53D7C3A8" w14:textId="664DDF2B" w:rsidR="00D30D5C" w:rsidRPr="00F07AC8" w:rsidRDefault="00D30D5C" w:rsidP="0048790A">
      <w:pPr>
        <w:rPr>
          <w:b/>
          <w:color w:val="CD6084" w:themeColor="accent5"/>
          <w:sz w:val="24"/>
        </w:rPr>
      </w:pPr>
      <w:r w:rsidRPr="00F07AC8">
        <w:rPr>
          <w:b/>
          <w:color w:val="CD6084" w:themeColor="accent5"/>
          <w:sz w:val="24"/>
        </w:rPr>
        <w:t>References</w:t>
      </w:r>
    </w:p>
    <w:p w14:paraId="304963A7" w14:textId="77777777" w:rsidR="00024783" w:rsidRPr="00F07AC8" w:rsidRDefault="00024783" w:rsidP="0048790A">
      <w:pPr>
        <w:spacing w:after="0"/>
        <w:rPr>
          <w:rFonts w:cs="Times New Roman"/>
          <w:color w:val="CD6084" w:themeColor="accent5"/>
        </w:rPr>
        <w:sectPr w:rsidR="00024783" w:rsidRPr="00F07AC8" w:rsidSect="00643B22">
          <w:headerReference w:type="default" r:id="rId29"/>
          <w:footerReference w:type="default" r:id="rId30"/>
          <w:endnotePr>
            <w:numFmt w:val="decimal"/>
          </w:endnotePr>
          <w:type w:val="continuous"/>
          <w:pgSz w:w="11906" w:h="16838"/>
          <w:pgMar w:top="2552" w:right="1134" w:bottom="851" w:left="1134" w:header="709" w:footer="454" w:gutter="0"/>
          <w:lnNumType w:countBy="1" w:restart="continuous"/>
          <w:cols w:space="708"/>
          <w:docGrid w:linePitch="360"/>
        </w:sectPr>
      </w:pPr>
    </w:p>
    <w:p w14:paraId="1D9B8C8A" w14:textId="1F0E685A" w:rsidR="00232EF4" w:rsidRPr="00044482" w:rsidRDefault="00232EF4" w:rsidP="00044482">
      <w:pPr>
        <w:spacing w:line="276" w:lineRule="auto"/>
        <w:rPr>
          <w:rFonts w:asciiTheme="majorHAnsi" w:eastAsiaTheme="majorEastAsia" w:hAnsiTheme="majorHAnsi" w:cstheme="majorBidi"/>
          <w:b/>
          <w:bCs/>
          <w:color w:val="CD6084" w:themeColor="accent5"/>
          <w:sz w:val="24"/>
          <w:szCs w:val="26"/>
        </w:rPr>
      </w:pPr>
    </w:p>
    <w:sectPr w:rsidR="00232EF4" w:rsidRPr="00044482" w:rsidSect="00F47CA7">
      <w:endnotePr>
        <w:numFmt w:val="decimal"/>
      </w:endnotePr>
      <w:type w:val="continuous"/>
      <w:pgSz w:w="11906" w:h="16838"/>
      <w:pgMar w:top="2552" w:right="1134" w:bottom="851" w:left="1134" w:header="709"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Owen Waite" w:date="2023-12-20T13:49:00Z" w:initials="OW">
    <w:p w14:paraId="7E8CCAD7" w14:textId="77777777" w:rsidR="00C12CC0" w:rsidRDefault="00E26F13" w:rsidP="00C659D0">
      <w:pPr>
        <w:pStyle w:val="CommentText"/>
      </w:pPr>
      <w:r>
        <w:rPr>
          <w:rStyle w:val="CommentReference"/>
        </w:rPr>
        <w:annotationRef/>
      </w:r>
      <w:r w:rsidR="00C12CC0">
        <w:t>This is a generic list - will be updated prior to final publication.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CC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ED5D33" w16cex:dateUtc="2023-12-20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CCAD7" w16cid:durableId="2CED5D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CD9A" w14:textId="77777777" w:rsidR="00472CE1" w:rsidRPr="00024783" w:rsidRDefault="00472CE1" w:rsidP="00024783">
      <w:pPr>
        <w:pStyle w:val="Footer"/>
        <w:rPr>
          <w:sz w:val="2"/>
        </w:rPr>
      </w:pPr>
    </w:p>
  </w:endnote>
  <w:endnote w:type="continuationSeparator" w:id="0">
    <w:p w14:paraId="2848877D" w14:textId="77777777" w:rsidR="00472CE1" w:rsidRPr="00024783" w:rsidRDefault="00472CE1" w:rsidP="00024783">
      <w:pPr>
        <w:pStyle w:val="Footer"/>
        <w:rPr>
          <w:sz w:val="2"/>
        </w:rPr>
      </w:pPr>
    </w:p>
  </w:endnote>
  <w:endnote w:id="1">
    <w:p w14:paraId="59D249B9" w14:textId="4DB59A08" w:rsidR="005E6FBF" w:rsidRPr="005E6FBF" w:rsidRDefault="005E6FBF" w:rsidP="005E6FBF">
      <w:pPr>
        <w:pStyle w:val="References"/>
        <w:rPr>
          <w:color w:val="1E1E1F"/>
          <w:lang w:eastAsia="en-GB"/>
        </w:rPr>
      </w:pPr>
      <w:r w:rsidRPr="005E6FBF">
        <w:rPr>
          <w:rStyle w:val="EndnoteReference"/>
          <w:vertAlign w:val="baseline"/>
        </w:rPr>
        <w:endnoteRef/>
      </w:r>
      <w:r w:rsidRPr="005E6FBF">
        <w:t xml:space="preserve"> </w:t>
      </w:r>
      <w:r>
        <w:tab/>
      </w:r>
      <w:r w:rsidR="007651C4" w:rsidRPr="007651C4">
        <w:t>A.</w:t>
      </w:r>
      <w:r w:rsidR="007651C4" w:rsidRPr="007651C4">
        <w:tab/>
        <w:t>Chin KJ, Mariano ER</w:t>
      </w:r>
      <w:r w:rsidR="007651C4">
        <w:t xml:space="preserve">, </w:t>
      </w:r>
      <w:r w:rsidR="007651C4" w:rsidRPr="007651C4">
        <w:t xml:space="preserve">El-Boghdadly K. Advancing towards the next frontier in regional, anaesthesia. </w:t>
      </w:r>
      <w:r w:rsidR="007651C4" w:rsidRPr="007651C4">
        <w:rPr>
          <w:i/>
          <w:iCs/>
        </w:rPr>
        <w:t xml:space="preserve">Anaesthesia </w:t>
      </w:r>
      <w:r w:rsidR="007651C4" w:rsidRPr="007651C4">
        <w:t>2021; 76: 3-7</w:t>
      </w:r>
    </w:p>
  </w:endnote>
  <w:endnote w:id="2">
    <w:p w14:paraId="5443B8A5" w14:textId="6475F374" w:rsidR="00534EE2" w:rsidRDefault="00534EE2" w:rsidP="00534EE2">
      <w:pPr>
        <w:pStyle w:val="References"/>
      </w:pPr>
      <w:r w:rsidRPr="005E6FBF">
        <w:rPr>
          <w:rStyle w:val="EndnoteReference"/>
          <w:vertAlign w:val="baseline"/>
        </w:rPr>
        <w:endnoteRef/>
      </w:r>
      <w:r w:rsidRPr="005E6FBF">
        <w:t xml:space="preserve"> </w:t>
      </w:r>
      <w:r>
        <w:tab/>
      </w:r>
      <w:r w:rsidRPr="00534EE2">
        <w:t>B.</w:t>
      </w:r>
      <w:r w:rsidRPr="00534EE2">
        <w:tab/>
        <w:t xml:space="preserve">Bellew B, Burkett St Laurent D et al. </w:t>
      </w:r>
      <w:r w:rsidRPr="00534EE2">
        <w:t>Regional anaesthesia training in the UK – a national survey. BMJ Open 2023; 8: 100241</w:t>
      </w:r>
    </w:p>
  </w:endnote>
  <w:endnote w:id="3">
    <w:p w14:paraId="49BF205C" w14:textId="1087AA79" w:rsidR="00534EE2" w:rsidRPr="005E6FBF" w:rsidRDefault="00534EE2" w:rsidP="00534EE2">
      <w:pPr>
        <w:pStyle w:val="References"/>
      </w:pPr>
      <w:r w:rsidRPr="005E6FBF">
        <w:rPr>
          <w:rStyle w:val="EndnoteReference"/>
          <w:vertAlign w:val="baseline"/>
        </w:rPr>
        <w:endnoteRef/>
      </w:r>
      <w:r w:rsidRPr="005E6FBF">
        <w:t xml:space="preserve"> </w:t>
      </w:r>
      <w:r w:rsidRPr="00B4747A">
        <w:tab/>
      </w:r>
      <w:r w:rsidRPr="00534EE2">
        <w:t>C.</w:t>
      </w:r>
      <w:r w:rsidRPr="00534EE2">
        <w:tab/>
        <w:t xml:space="preserve">Barrington MJ, </w:t>
      </w:r>
      <w:r w:rsidRPr="00534EE2">
        <w:t>Uda Y. Did ultrasound fulfil the promise of safety in regional anaesthesia. Curr Op Anesth 2018; 31: 649-655</w:t>
      </w:r>
    </w:p>
  </w:endnote>
  <w:endnote w:id="4">
    <w:p w14:paraId="697E9999" w14:textId="133166D1" w:rsidR="00534EE2" w:rsidRDefault="00534EE2" w:rsidP="00534EE2">
      <w:pPr>
        <w:pStyle w:val="References"/>
      </w:pPr>
      <w:r w:rsidRPr="009522F7">
        <w:rPr>
          <w:rStyle w:val="EndnoteReference"/>
          <w:vertAlign w:val="baseline"/>
        </w:rPr>
        <w:endnoteRef/>
      </w:r>
      <w:r w:rsidRPr="009522F7">
        <w:t xml:space="preserve"> </w:t>
      </w:r>
      <w:r>
        <w:tab/>
      </w:r>
      <w:r w:rsidRPr="00534EE2">
        <w:t>D.</w:t>
      </w:r>
      <w:r w:rsidRPr="00534EE2">
        <w:tab/>
        <w:t xml:space="preserve">Boselli E, Hopkins P et al. European Society of Anaesthesia and Intensive Care guidelines on perioperative use of ultrasound for regional anaesthesia (PERSEUS regional anaesthesia) Peripheral nerve blocks and neuraxial anaesthesia. </w:t>
      </w:r>
      <w:r w:rsidRPr="00534EE2">
        <w:t>Eur J Anaes 2021; 38: 219-250</w:t>
      </w:r>
    </w:p>
  </w:endnote>
  <w:endnote w:id="5">
    <w:p w14:paraId="06B969FA" w14:textId="1753DC6F" w:rsidR="00636ABC" w:rsidRDefault="00636ABC" w:rsidP="00636ABC">
      <w:pPr>
        <w:pStyle w:val="References"/>
      </w:pPr>
      <w:r w:rsidRPr="009522F7">
        <w:rPr>
          <w:rStyle w:val="EndnoteReference"/>
          <w:vertAlign w:val="baseline"/>
        </w:rPr>
        <w:endnoteRef/>
      </w:r>
      <w:r w:rsidRPr="009522F7">
        <w:t xml:space="preserve"> </w:t>
      </w:r>
      <w:r>
        <w:tab/>
      </w:r>
      <w:r w:rsidRPr="00636ABC">
        <w:t>Macfarlane AJR, Gitman M et al. Updates in our understanding of local anaesthetic systemic toxicity: a narrative review. Anaesthesia 2021; 76 (S1): 27-39.</w:t>
      </w:r>
    </w:p>
  </w:endnote>
  <w:endnote w:id="6">
    <w:p w14:paraId="7F16D87A" w14:textId="29A8FD94" w:rsidR="00636ABC" w:rsidRPr="005956A8" w:rsidRDefault="00636ABC" w:rsidP="00636ABC">
      <w:pPr>
        <w:pStyle w:val="References"/>
      </w:pPr>
      <w:r w:rsidRPr="005956A8">
        <w:rPr>
          <w:rStyle w:val="EndnoteReference"/>
          <w:vertAlign w:val="baseline"/>
        </w:rPr>
        <w:endnoteRef/>
      </w:r>
      <w:r w:rsidRPr="005956A8">
        <w:t xml:space="preserve"> </w:t>
      </w:r>
      <w:r w:rsidRPr="005956A8">
        <w:tab/>
      </w:r>
      <w:r w:rsidRPr="00636ABC">
        <w:t>Management of severe local anaesthetic toxicity. AAGBI. 2023. (</w:t>
      </w:r>
      <w:hyperlink r:id="rId1" w:history="1">
        <w:r w:rsidRPr="00FD4D2B">
          <w:rPr>
            <w:rStyle w:val="Hyperlink"/>
          </w:rPr>
          <w:t>https://anaesthetists.org/Home/Resources-publications/Guidelines/Archived-guidelines/Management-of-severe-local-anaesthetic-toxicity</w:t>
        </w:r>
      </w:hyperlink>
      <w:r w:rsidRPr="00636ABC">
        <w:t>)</w:t>
      </w:r>
      <w:r>
        <w:t xml:space="preserve"> </w:t>
      </w:r>
    </w:p>
  </w:endnote>
  <w:endnote w:id="7">
    <w:p w14:paraId="70FE02C4" w14:textId="5314DC86" w:rsidR="001E7BEF" w:rsidRPr="000109E9" w:rsidRDefault="001E7BEF" w:rsidP="001E7BEF">
      <w:pPr>
        <w:pStyle w:val="References"/>
      </w:pPr>
      <w:r w:rsidRPr="000109E9">
        <w:rPr>
          <w:rStyle w:val="EndnoteReference"/>
          <w:vertAlign w:val="baseline"/>
        </w:rPr>
        <w:endnoteRef/>
      </w:r>
      <w:r w:rsidRPr="000109E9">
        <w:t xml:space="preserve"> </w:t>
      </w:r>
      <w:r w:rsidRPr="000109E9">
        <w:tab/>
      </w:r>
      <w:r w:rsidR="00525596" w:rsidRPr="00525596">
        <w:t>PROSPECT guidelines. Better post-operative pain management. European Society of Regional Anaesthesia and Pain Medicine. 2024.</w:t>
      </w:r>
      <w:r w:rsidR="00525596">
        <w:t xml:space="preserve"> </w:t>
      </w:r>
      <w:hyperlink r:id="rId2" w:history="1">
        <w:r w:rsidR="00525596" w:rsidRPr="00FD4D2B">
          <w:rPr>
            <w:rStyle w:val="Hyperlink"/>
          </w:rPr>
          <w:t>https://esraeurope.org/prospect/</w:t>
        </w:r>
      </w:hyperlink>
      <w:r w:rsidR="00525596">
        <w:t xml:space="preserve">. </w:t>
      </w:r>
    </w:p>
  </w:endnote>
  <w:endnote w:id="8">
    <w:p w14:paraId="3C45029F" w14:textId="2B447DBD" w:rsidR="00C006C9" w:rsidRDefault="00C006C9" w:rsidP="00C006C9">
      <w:pPr>
        <w:pStyle w:val="References"/>
      </w:pPr>
      <w:r w:rsidRPr="00A80839">
        <w:rPr>
          <w:rStyle w:val="EndnoteReference"/>
          <w:vertAlign w:val="baseline"/>
        </w:rPr>
        <w:endnoteRef/>
      </w:r>
      <w:r w:rsidRPr="00A80839">
        <w:t xml:space="preserve"> </w:t>
      </w:r>
      <w:r>
        <w:tab/>
      </w:r>
      <w:r w:rsidRPr="00C006C9">
        <w:t>Hutton M, Brull R, Macfarlane AJR. Regional anaesthesia and outcomes. BJA Educ 2018; 18: 52-56</w:t>
      </w:r>
    </w:p>
  </w:endnote>
  <w:endnote w:id="9">
    <w:p w14:paraId="3E8266ED" w14:textId="48DE4590" w:rsidR="00C006C9" w:rsidRDefault="00C006C9" w:rsidP="00C006C9">
      <w:pPr>
        <w:pStyle w:val="References"/>
      </w:pPr>
      <w:r w:rsidRPr="00A569E9">
        <w:rPr>
          <w:rStyle w:val="EndnoteReference"/>
          <w:vertAlign w:val="baseline"/>
        </w:rPr>
        <w:endnoteRef/>
      </w:r>
      <w:r w:rsidRPr="00A569E9">
        <w:t xml:space="preserve"> </w:t>
      </w:r>
      <w:r>
        <w:tab/>
      </w:r>
      <w:r w:rsidRPr="00C006C9">
        <w:t xml:space="preserve">Mancel L, van Loon K, Lopez AM. Role of regional anaesthesia in Enhanced Recovery After Surgery (ERAS) protocols. </w:t>
      </w:r>
      <w:r w:rsidRPr="00C006C9">
        <w:t>Curr Op Anesth 2021; 34: 616-625</w:t>
      </w:r>
    </w:p>
  </w:endnote>
  <w:endnote w:id="10">
    <w:p w14:paraId="2BB371C8" w14:textId="29414B79" w:rsidR="00C006C9" w:rsidRDefault="00C006C9" w:rsidP="00C006C9">
      <w:pPr>
        <w:pStyle w:val="References"/>
      </w:pPr>
      <w:r w:rsidRPr="00A569E9">
        <w:rPr>
          <w:rStyle w:val="EndnoteReference"/>
          <w:vertAlign w:val="baseline"/>
        </w:rPr>
        <w:endnoteRef/>
      </w:r>
      <w:r>
        <w:t xml:space="preserve"> </w:t>
      </w:r>
      <w:r>
        <w:tab/>
      </w:r>
      <w:r w:rsidRPr="00F623E3">
        <w:t xml:space="preserve">Royal College of Anaesthetists. Guidelines for the Provision of Anaesthetic Services Chapter 7: Guidelines for the Provision of Anaesthesia Services </w:t>
      </w:r>
      <w:r w:rsidR="006435FC">
        <w:t>for Day Surgery. 2024.</w:t>
      </w:r>
      <w:r>
        <w:t xml:space="preserve"> </w:t>
      </w:r>
      <w:r w:rsidR="006435FC">
        <w:t>(</w:t>
      </w:r>
      <w:hyperlink r:id="rId3" w:history="1">
        <w:r w:rsidR="00361D26" w:rsidRPr="00FD4D2B">
          <w:rPr>
            <w:rStyle w:val="Hyperlink"/>
          </w:rPr>
          <w:t>https://www.rcoa.ac.uk/node/18556</w:t>
        </w:r>
      </w:hyperlink>
      <w:r w:rsidR="006435FC">
        <w:t>)</w:t>
      </w:r>
    </w:p>
  </w:endnote>
  <w:endnote w:id="11">
    <w:p w14:paraId="03BA5395" w14:textId="2C475AFE" w:rsidR="00C006C9" w:rsidRDefault="00C006C9" w:rsidP="00C006C9">
      <w:pPr>
        <w:pStyle w:val="References"/>
      </w:pPr>
      <w:r w:rsidRPr="000109E9">
        <w:rPr>
          <w:rStyle w:val="EndnoteReference"/>
          <w:vertAlign w:val="baseline"/>
        </w:rPr>
        <w:endnoteRef/>
      </w:r>
      <w:r w:rsidRPr="000109E9">
        <w:t xml:space="preserve"> </w:t>
      </w:r>
      <w:r>
        <w:tab/>
      </w:r>
      <w:r w:rsidR="00181137" w:rsidRPr="00181137">
        <w:t>K.</w:t>
      </w:r>
      <w:r w:rsidR="00181137">
        <w:t xml:space="preserve"> </w:t>
      </w:r>
      <w:r w:rsidR="00181137" w:rsidRPr="00181137">
        <w:t xml:space="preserve">Smith L.M., </w:t>
      </w:r>
      <w:r w:rsidR="00181137" w:rsidRPr="00181137">
        <w:t xml:space="preserve">Cozowicz C., Uda Y., Memtsoudis S.G., Barrington M.J. Neuraxial and combined neuraxial/general anesthesia compared to general anesthesia for major truncal and lower limb surgery: a systematic review and meta-analysis. Anesth Analg. </w:t>
      </w:r>
      <w:r w:rsidR="00181137" w:rsidRPr="00181137">
        <w:t>2017;125:1931–1945</w:t>
      </w:r>
    </w:p>
  </w:endnote>
  <w:endnote w:id="12">
    <w:p w14:paraId="4E15070C" w14:textId="1211941B" w:rsidR="00A96DFF" w:rsidRDefault="00A96DFF" w:rsidP="00A96DFF">
      <w:pPr>
        <w:pStyle w:val="References"/>
      </w:pPr>
      <w:r w:rsidRPr="00A569E9">
        <w:rPr>
          <w:rStyle w:val="EndnoteReference"/>
          <w:vertAlign w:val="baseline"/>
        </w:rPr>
        <w:endnoteRef/>
      </w:r>
      <w:r>
        <w:t xml:space="preserve"> </w:t>
      </w:r>
      <w:r>
        <w:tab/>
      </w:r>
      <w:r w:rsidRPr="00A96DFF">
        <w:t>L.</w:t>
      </w:r>
      <w:r w:rsidR="004B0773">
        <w:t xml:space="preserve"> </w:t>
      </w:r>
      <w:r w:rsidRPr="00A96DFF">
        <w:t xml:space="preserve">Memtsoudis SG et al. Peripheral nerve block anesthesia/analgesia for patients undergoing primary hip and knee arthroplasty: recommendations from the International Consensus on Anesthesia-Related Outcomes after Surgery (ICAROS) group based on a systematic review and meta-analysis of current literature. Reg </w:t>
      </w:r>
      <w:r w:rsidRPr="00A96DFF">
        <w:t>Anes Pain Med 2021; 46: 971-85</w:t>
      </w:r>
    </w:p>
  </w:endnote>
  <w:endnote w:id="13">
    <w:p w14:paraId="17BC4894" w14:textId="557CB232" w:rsidR="00A96DFF" w:rsidRDefault="00A96DFF" w:rsidP="00A96DFF">
      <w:pPr>
        <w:pStyle w:val="References"/>
      </w:pPr>
      <w:r w:rsidRPr="00FD0EEB">
        <w:rPr>
          <w:rStyle w:val="EndnoteReference"/>
          <w:vertAlign w:val="baseline"/>
        </w:rPr>
        <w:endnoteRef/>
      </w:r>
      <w:r w:rsidRPr="00FD0EEB">
        <w:t xml:space="preserve"> </w:t>
      </w:r>
      <w:r>
        <w:tab/>
      </w:r>
      <w:r w:rsidRPr="00A96DFF">
        <w:t>M.</w:t>
      </w:r>
      <w:r w:rsidRPr="00A96DFF">
        <w:tab/>
        <w:t xml:space="preserve">Aitken E et al. Effect of regional versus local anaesthesia on outcome after arteriovenous fistula creation: a </w:t>
      </w:r>
      <w:r>
        <w:t>randomized and</w:t>
      </w:r>
      <w:r w:rsidRPr="00A96DFF">
        <w:t xml:space="preserve"> controlled trial. Lancet 2016; 388: 1067-1074</w:t>
      </w:r>
    </w:p>
  </w:endnote>
  <w:endnote w:id="14">
    <w:p w14:paraId="2B2B94F8" w14:textId="77777777" w:rsidR="002119E6" w:rsidRDefault="002119E6" w:rsidP="002119E6">
      <w:pPr>
        <w:pStyle w:val="References"/>
      </w:pPr>
      <w:r w:rsidRPr="00FD0EEB">
        <w:rPr>
          <w:rStyle w:val="EndnoteReference"/>
          <w:vertAlign w:val="baseline"/>
        </w:rPr>
        <w:endnoteRef/>
      </w:r>
      <w:r>
        <w:t xml:space="preserve"> </w:t>
      </w:r>
      <w:r>
        <w:tab/>
      </w:r>
      <w:r w:rsidRPr="00B25730">
        <w:t>N.</w:t>
      </w:r>
      <w:r w:rsidRPr="00B25730">
        <w:tab/>
        <w:t>Brown B, Khemani E, Lin C, Armstrong K. Improving patient flow in a regional anaesthesia block room. BMJ Open Qual. 2019 Apr 8;8(2)</w:t>
      </w:r>
    </w:p>
  </w:endnote>
  <w:endnote w:id="15">
    <w:p w14:paraId="41FEB8A6" w14:textId="77777777" w:rsidR="002119E6" w:rsidRDefault="002119E6" w:rsidP="002119E6">
      <w:pPr>
        <w:pStyle w:val="References"/>
      </w:pPr>
      <w:r w:rsidRPr="00FD0EEB">
        <w:rPr>
          <w:rStyle w:val="EndnoteReference"/>
          <w:vertAlign w:val="baseline"/>
        </w:rPr>
        <w:endnoteRef/>
      </w:r>
      <w:r w:rsidRPr="00FD0EEB">
        <w:t xml:space="preserve"> </w:t>
      </w:r>
      <w:r>
        <w:tab/>
      </w:r>
      <w:r w:rsidRPr="00B25730">
        <w:t>O.</w:t>
      </w:r>
      <w:r w:rsidRPr="00B25730">
        <w:tab/>
        <w:t>El-</w:t>
      </w:r>
      <w:r w:rsidRPr="00B25730">
        <w:t>Boghdadly K et al. Impact of parallel processing of regional anesthesia with block rooms on resource utilization and clinical outcomes: a systematic review and meta-analysis Reg Anes Pain Med 2020; 45: 720-726</w:t>
      </w:r>
    </w:p>
  </w:endnote>
  <w:endnote w:id="16">
    <w:p w14:paraId="63FE87E0" w14:textId="74A8B888" w:rsidR="002119E6" w:rsidRDefault="002119E6" w:rsidP="002119E6">
      <w:pPr>
        <w:pStyle w:val="References"/>
      </w:pPr>
      <w:r w:rsidRPr="008E0E29">
        <w:rPr>
          <w:rStyle w:val="EndnoteReference"/>
          <w:vertAlign w:val="baseline"/>
        </w:rPr>
        <w:endnoteRef/>
      </w:r>
      <w:r>
        <w:t xml:space="preserve"> </w:t>
      </w:r>
      <w:r>
        <w:tab/>
        <w:t>R</w:t>
      </w:r>
      <w:r w:rsidR="00311662">
        <w:t>A-UK</w:t>
      </w:r>
      <w:r>
        <w:t xml:space="preserve">. </w:t>
      </w:r>
      <w:r w:rsidRPr="008E0E29">
        <w:t>Guidelines for supervision of patients during peripheral regional anaesthesia</w:t>
      </w:r>
      <w:r>
        <w:t xml:space="preserve">. 2023. </w:t>
      </w:r>
      <w:r w:rsidR="00311662">
        <w:t>(</w:t>
      </w:r>
      <w:hyperlink r:id="rId4" w:history="1">
        <w:r w:rsidR="00311662" w:rsidRPr="00FD4D2B">
          <w:rPr>
            <w:rStyle w:val="Hyperlink"/>
          </w:rPr>
          <w:t>https://www.ra-uk.org/index.php/resources/guidelines-standards/5-guidelines/detail/274-supervision-statement</w:t>
        </w:r>
      </w:hyperlink>
      <w:r w:rsidR="00311662">
        <w:t xml:space="preserve">) </w:t>
      </w:r>
    </w:p>
  </w:endnote>
  <w:endnote w:id="17">
    <w:p w14:paraId="5F0C2EC4" w14:textId="3DE0AA32" w:rsidR="001207A8" w:rsidRDefault="001207A8" w:rsidP="001207A8">
      <w:pPr>
        <w:pStyle w:val="References"/>
      </w:pPr>
      <w:r w:rsidRPr="001207A8">
        <w:rPr>
          <w:rStyle w:val="EndnoteReference"/>
          <w:vertAlign w:val="baseline"/>
        </w:rPr>
        <w:endnoteRef/>
      </w:r>
      <w:r w:rsidRPr="001207A8">
        <w:t xml:space="preserve"> </w:t>
      </w:r>
      <w:r>
        <w:tab/>
        <w:t>NHS England. Learning from patient safety events (</w:t>
      </w:r>
      <w:hyperlink r:id="rId5" w:history="1">
        <w:r w:rsidRPr="00FD4D2B">
          <w:rPr>
            <w:rStyle w:val="Hyperlink"/>
            <w:sz w:val="20"/>
          </w:rPr>
          <w:t>https://www.england.nhs.uk/patient-safety/patient-safety-insight/learning-from-patient-safety-events/</w:t>
        </w:r>
      </w:hyperlink>
      <w:r>
        <w:t xml:space="preserve">) </w:t>
      </w:r>
    </w:p>
  </w:endnote>
  <w:endnote w:id="18">
    <w:p w14:paraId="0A2C9416" w14:textId="1FD60AE1" w:rsidR="001337AE" w:rsidRDefault="001337AE" w:rsidP="001337AE">
      <w:pPr>
        <w:pStyle w:val="References"/>
      </w:pPr>
      <w:r w:rsidRPr="001337AE">
        <w:rPr>
          <w:rStyle w:val="EndnoteReference"/>
          <w:vertAlign w:val="baseline"/>
        </w:rPr>
        <w:endnoteRef/>
      </w:r>
      <w:r w:rsidRPr="001337AE">
        <w:t xml:space="preserve"> </w:t>
      </w:r>
      <w:r>
        <w:tab/>
      </w:r>
      <w:r w:rsidRPr="001337AE">
        <w:t>Centre for Perioperative Care. The National Safety Standards for Invasive Procedures 2(</w:t>
      </w:r>
      <w:r w:rsidRPr="001337AE">
        <w:t>NatSSIPs).2023. (</w:t>
      </w:r>
      <w:hyperlink r:id="rId6" w:history="1">
        <w:r w:rsidRPr="001337AE">
          <w:rPr>
            <w:rStyle w:val="Hyperlink"/>
          </w:rPr>
          <w:t>https://cpoc.org.uk/guidelines-resources-guidelines/national-safety-standards-invasive-procedures-natssips</w:t>
        </w:r>
      </w:hyperlink>
      <w:r w:rsidRPr="001337AE">
        <w:t>)</w:t>
      </w:r>
      <w:r>
        <w:t xml:space="preserve"> </w:t>
      </w:r>
    </w:p>
  </w:endnote>
  <w:endnote w:id="19">
    <w:p w14:paraId="21C0F817" w14:textId="43C670DB" w:rsidR="001207A8" w:rsidRDefault="001207A8" w:rsidP="001207A8">
      <w:pPr>
        <w:pStyle w:val="References"/>
      </w:pPr>
      <w:r w:rsidRPr="001207A8">
        <w:rPr>
          <w:rStyle w:val="EndnoteReference"/>
          <w:vertAlign w:val="baseline"/>
        </w:rPr>
        <w:endnoteRef/>
      </w:r>
      <w:r w:rsidRPr="001207A8">
        <w:t xml:space="preserve"> </w:t>
      </w:r>
      <w:r w:rsidRPr="001207A8">
        <w:tab/>
        <w:t xml:space="preserve">Harrop-Griffiths W, Cook T, Gill H et al. </w:t>
      </w:r>
      <w:r w:rsidRPr="001207A8">
        <w:t>Regional anaesthesia and patients with abnormalities of coagulation. Anaesthesia 2013; 68: 966-972</w:t>
      </w:r>
    </w:p>
  </w:endnote>
  <w:endnote w:id="20">
    <w:p w14:paraId="6F18A166" w14:textId="1DF56812" w:rsidR="00D70D88" w:rsidRDefault="00D70D88" w:rsidP="00D70D88">
      <w:pPr>
        <w:pStyle w:val="References"/>
      </w:pPr>
      <w:r w:rsidRPr="00D70D88">
        <w:rPr>
          <w:rStyle w:val="EndnoteReference"/>
          <w:vertAlign w:val="baseline"/>
        </w:rPr>
        <w:endnoteRef/>
      </w:r>
      <w:r w:rsidRPr="00D70D88">
        <w:t xml:space="preserve"> </w:t>
      </w:r>
      <w:r>
        <w:tab/>
      </w:r>
      <w:r w:rsidRPr="00D70D88">
        <w:t>Prep, Stop, Block: The new standardised operating procedure for ‘Stop Before You Block”</w:t>
      </w:r>
      <w:r>
        <w:t xml:space="preserve"> (</w:t>
      </w:r>
      <w:hyperlink r:id="rId7" w:history="1">
        <w:r w:rsidRPr="008F528E">
          <w:rPr>
            <w:rStyle w:val="Hyperlink"/>
          </w:rPr>
          <w:t>https://www.ra-uk.org/index.php?option=com_content&amp;view=article&amp;id=485&amp;Itemid=919</w:t>
        </w:r>
      </w:hyperlink>
      <w:r>
        <w:rPr>
          <w:rStyle w:val="Hyperlink"/>
        </w:rPr>
        <w:t>)</w:t>
      </w:r>
    </w:p>
  </w:endnote>
  <w:endnote w:id="21">
    <w:p w14:paraId="07BC58FC" w14:textId="6CFC14B7" w:rsidR="00D70D88" w:rsidRDefault="00D70D88" w:rsidP="00D70D88">
      <w:pPr>
        <w:pStyle w:val="References"/>
      </w:pPr>
      <w:r w:rsidRPr="00D70D88">
        <w:rPr>
          <w:rStyle w:val="EndnoteReference"/>
          <w:vertAlign w:val="baseline"/>
        </w:rPr>
        <w:endnoteRef/>
      </w:r>
      <w:r w:rsidRPr="00D70D88">
        <w:t xml:space="preserve"> </w:t>
      </w:r>
      <w:r>
        <w:tab/>
        <w:t xml:space="preserve">Association of Anaesthetists. </w:t>
      </w:r>
      <w:r w:rsidRPr="00D70D88">
        <w:t xml:space="preserve">Fascia </w:t>
      </w:r>
      <w:r w:rsidRPr="00D70D88">
        <w:t>iliaca blocks and non-physician practitioners</w:t>
      </w:r>
      <w:r>
        <w:t>, 2020. (</w:t>
      </w:r>
      <w:hyperlink r:id="rId8" w:history="1">
        <w:r w:rsidRPr="00FD4D2B">
          <w:rPr>
            <w:rStyle w:val="Hyperlink"/>
            <w:sz w:val="20"/>
          </w:rPr>
          <w:t>https://anaesthetists.org/Home/News-opinion/News/Fascia-Iliaca-blocks-and-non-physician-practitioners</w:t>
        </w:r>
      </w:hyperlink>
      <w:r>
        <w:t xml:space="preserve">) </w:t>
      </w:r>
    </w:p>
  </w:endnote>
  <w:endnote w:id="22">
    <w:p w14:paraId="6D855A8B" w14:textId="2EBC3364" w:rsidR="00D70D88" w:rsidRPr="00311662" w:rsidRDefault="00D70D88" w:rsidP="00311662">
      <w:pPr>
        <w:pStyle w:val="References"/>
      </w:pPr>
      <w:r w:rsidRPr="00311662">
        <w:rPr>
          <w:rStyle w:val="EndnoteReference"/>
          <w:vertAlign w:val="baseline"/>
        </w:rPr>
        <w:endnoteRef/>
      </w:r>
      <w:r w:rsidRPr="00311662">
        <w:t xml:space="preserve"> </w:t>
      </w:r>
      <w:r w:rsidR="00311662">
        <w:tab/>
      </w:r>
      <w:r w:rsidRPr="00311662">
        <w:t>Pawa A, El-</w:t>
      </w:r>
      <w:r w:rsidRPr="00311662">
        <w:t>Boghdadly K. Regional anesthesia by nonanesthesiologists. Current opinion in anaesthesiology. 2018</w:t>
      </w:r>
      <w:r w:rsidR="00311662" w:rsidRPr="00311662">
        <w:t xml:space="preserve">. </w:t>
      </w:r>
      <w:r w:rsidRPr="00311662">
        <w:t>1;31:586-592.</w:t>
      </w:r>
    </w:p>
  </w:endnote>
  <w:endnote w:id="23">
    <w:p w14:paraId="2166A6AA" w14:textId="4E9CE923" w:rsidR="00A9244A" w:rsidRPr="00A9244A" w:rsidRDefault="00A9244A" w:rsidP="00A9244A">
      <w:pPr>
        <w:pStyle w:val="References"/>
      </w:pPr>
      <w:r w:rsidRPr="00A9244A">
        <w:rPr>
          <w:rStyle w:val="EndnoteReference"/>
          <w:vertAlign w:val="baseline"/>
        </w:rPr>
        <w:endnoteRef/>
      </w:r>
      <w:r w:rsidRPr="00A9244A">
        <w:t xml:space="preserve"> </w:t>
      </w:r>
      <w:r>
        <w:tab/>
      </w:r>
      <w:r w:rsidRPr="00A9244A">
        <w:t>Ode K, Selvaraj S, Smith AF. Monitoring regional blockade. Anaesthesia 2017; 72: 70-75.</w:t>
      </w:r>
    </w:p>
  </w:endnote>
  <w:endnote w:id="24">
    <w:p w14:paraId="2DC5591C" w14:textId="49DB8FCF" w:rsidR="0050793A" w:rsidRDefault="0050793A" w:rsidP="0050793A">
      <w:pPr>
        <w:pStyle w:val="References"/>
      </w:pPr>
      <w:r w:rsidRPr="0050793A">
        <w:rPr>
          <w:rStyle w:val="EndnoteReference"/>
          <w:vertAlign w:val="baseline"/>
        </w:rPr>
        <w:endnoteRef/>
      </w:r>
      <w:r>
        <w:t xml:space="preserve"> </w:t>
      </w:r>
      <w:r>
        <w:tab/>
      </w:r>
      <w:r w:rsidRPr="0050793A">
        <w:t>O’Flaherty D, McCartney CJL, Ng SC. Nerve injury after peripheral nerve blockade-current understanding and guidelines. BJA Educ. Dec; 18(12): 384–390.</w:t>
      </w:r>
    </w:p>
  </w:endnote>
  <w:endnote w:id="25">
    <w:p w14:paraId="32502B5E" w14:textId="25F9A3FE" w:rsidR="0050793A" w:rsidRDefault="0050793A" w:rsidP="0050793A">
      <w:pPr>
        <w:pStyle w:val="References"/>
      </w:pPr>
      <w:r w:rsidRPr="0050793A">
        <w:rPr>
          <w:rStyle w:val="EndnoteReference"/>
          <w:vertAlign w:val="baseline"/>
        </w:rPr>
        <w:endnoteRef/>
      </w:r>
      <w:r w:rsidRPr="0050793A">
        <w:t xml:space="preserve"> </w:t>
      </w:r>
      <w:r>
        <w:tab/>
        <w:t>RA-UK, BOA peripheral nerve guidelines. 2021. (</w:t>
      </w:r>
      <w:hyperlink r:id="rId9" w:history="1">
        <w:r w:rsidRPr="00FD4D2B">
          <w:rPr>
            <w:rStyle w:val="Hyperlink"/>
            <w:sz w:val="20"/>
          </w:rPr>
          <w:t>https://www.boa.ac.uk/resource/rauk-boa-peripheral-nerve-guidelines-pdf.html</w:t>
        </w:r>
      </w:hyperlink>
      <w:r>
        <w:t xml:space="preserve">) </w:t>
      </w:r>
    </w:p>
  </w:endnote>
  <w:endnote w:id="26">
    <w:p w14:paraId="4B3999DE" w14:textId="0405EC9F" w:rsidR="0050793A" w:rsidRDefault="0050793A" w:rsidP="0050793A">
      <w:pPr>
        <w:pStyle w:val="References"/>
      </w:pPr>
      <w:r w:rsidRPr="0050793A">
        <w:rPr>
          <w:rStyle w:val="EndnoteReference"/>
          <w:vertAlign w:val="baseline"/>
        </w:rPr>
        <w:endnoteRef/>
      </w:r>
      <w:r w:rsidRPr="0050793A">
        <w:t xml:space="preserve"> </w:t>
      </w:r>
      <w:r>
        <w:tab/>
      </w:r>
      <w:r w:rsidRPr="0050793A">
        <w:t>Lam D, Pierson D, Salaria O et al. Pain control with Regional Anesthesia in Patients at Risk of Acute Compartment Syndrome: Review of the Literature and Editorial View. J Pain Res 2023: 16: 635-648.</w:t>
      </w:r>
    </w:p>
  </w:endnote>
  <w:endnote w:id="27">
    <w:p w14:paraId="553BAAE4" w14:textId="77777777" w:rsidR="0050793A" w:rsidRDefault="0050793A" w:rsidP="0050793A">
      <w:pPr>
        <w:pStyle w:val="References"/>
      </w:pPr>
      <w:r w:rsidRPr="00342BC7">
        <w:rPr>
          <w:rStyle w:val="EndnoteReference"/>
          <w:vertAlign w:val="baseline"/>
        </w:rPr>
        <w:endnoteRef/>
      </w:r>
      <w:r w:rsidRPr="00342BC7">
        <w:t xml:space="preserve"> </w:t>
      </w:r>
      <w:r>
        <w:tab/>
      </w:r>
      <w:r w:rsidRPr="00342BC7">
        <w:t>Nathanson, M.H., Harrop-Griffiths, W., Aldington, D.J., Forward, D., Mannion, S.</w:t>
      </w:r>
      <w:r>
        <w:t xml:space="preserve"> </w:t>
      </w:r>
      <w:r w:rsidRPr="00342BC7">
        <w:t>Kinnear-Mellor</w:t>
      </w:r>
      <w:r>
        <w:t xml:space="preserve"> </w:t>
      </w:r>
      <w:r w:rsidRPr="00342BC7">
        <w:rPr>
          <w:i/>
          <w:iCs/>
        </w:rPr>
        <w:t>et al</w:t>
      </w:r>
      <w:r w:rsidRPr="00342BC7">
        <w:t xml:space="preserve">. (2021), Regional analgesia for lower leg trauma and the risk of acute compartment syndrome. </w:t>
      </w:r>
      <w:r w:rsidRPr="00342BC7">
        <w:rPr>
          <w:i/>
          <w:iCs/>
        </w:rPr>
        <w:t>Anaesthesia</w:t>
      </w:r>
      <w:r w:rsidRPr="00342BC7">
        <w:t>, 76: 1518-1525.</w:t>
      </w:r>
    </w:p>
  </w:endnote>
  <w:endnote w:id="28">
    <w:p w14:paraId="3FD1F2B1" w14:textId="77777777" w:rsidR="00225C12" w:rsidRDefault="00225C12" w:rsidP="00225C12">
      <w:pPr>
        <w:pStyle w:val="References"/>
      </w:pPr>
      <w:r w:rsidRPr="00C06780">
        <w:rPr>
          <w:rStyle w:val="EndnoteReference"/>
          <w:vertAlign w:val="baseline"/>
        </w:rPr>
        <w:endnoteRef/>
      </w:r>
      <w:r w:rsidRPr="00C06780">
        <w:t xml:space="preserve"> </w:t>
      </w:r>
      <w:r>
        <w:tab/>
      </w:r>
      <w:r w:rsidRPr="00C06780">
        <w:t>Royal College of Anaesthetists. Chapter 2: Guidelines for the Provision of Anaesthesia Services for the Perioperative Care of Elective and Urgent Care Patients. 202</w:t>
      </w:r>
      <w:r>
        <w:t>4. (</w:t>
      </w:r>
      <w:hyperlink r:id="rId10" w:history="1">
        <w:r w:rsidRPr="004C4031">
          <w:rPr>
            <w:rStyle w:val="Hyperlink"/>
            <w:sz w:val="20"/>
          </w:rPr>
          <w:t>https://www.rcoa.ac.uk/gpas/chapter-2</w:t>
        </w:r>
      </w:hyperlink>
      <w:r>
        <w:t xml:space="preserve">) </w:t>
      </w:r>
    </w:p>
  </w:endnote>
  <w:endnote w:id="29">
    <w:p w14:paraId="53B062D9" w14:textId="77777777" w:rsidR="004B0773" w:rsidRDefault="004B0773" w:rsidP="004B0773">
      <w:pPr>
        <w:pStyle w:val="References"/>
      </w:pPr>
      <w:r w:rsidRPr="00F01C2D">
        <w:rPr>
          <w:rStyle w:val="EndnoteReference"/>
          <w:vertAlign w:val="baseline"/>
        </w:rPr>
        <w:endnoteRef/>
      </w:r>
      <w:r w:rsidRPr="00F01C2D">
        <w:t xml:space="preserve"> </w:t>
      </w:r>
      <w:r>
        <w:tab/>
        <w:t xml:space="preserve">Association of Anaesthetists. </w:t>
      </w:r>
      <w:r w:rsidRPr="00F01C2D">
        <w:t>Immediate post-anaesthesia recovery</w:t>
      </w:r>
      <w:r>
        <w:t>. 2013</w:t>
      </w:r>
      <w:r>
        <w:rPr>
          <w:rFonts w:asciiTheme="minorHAnsi" w:hAnsiTheme="minorHAnsi"/>
        </w:rPr>
        <w:t>. (</w:t>
      </w:r>
      <w:hyperlink r:id="rId11" w:history="1">
        <w:r w:rsidRPr="004C4031">
          <w:rPr>
            <w:rStyle w:val="Hyperlink"/>
            <w:rFonts w:asciiTheme="minorHAnsi" w:hAnsiTheme="minorHAnsi"/>
          </w:rPr>
          <w:t>https://anaesthetists.org/Home/Resources-publications/Guidelines/Immediate-post-anaesthesia-recovery</w:t>
        </w:r>
      </w:hyperlink>
      <w:r>
        <w:rPr>
          <w:rFonts w:asciiTheme="minorHAnsi" w:hAnsiTheme="minorHAnsi"/>
        </w:rPr>
        <w:t xml:space="preserve">) </w:t>
      </w:r>
    </w:p>
  </w:endnote>
  <w:endnote w:id="30">
    <w:p w14:paraId="7CDDAEA2" w14:textId="09A3FF27" w:rsidR="00A54C2E" w:rsidRDefault="00A54C2E" w:rsidP="00A54C2E">
      <w:pPr>
        <w:pStyle w:val="References"/>
      </w:pPr>
      <w:r w:rsidRPr="00A54C2E">
        <w:rPr>
          <w:rStyle w:val="EndnoteReference"/>
          <w:vertAlign w:val="baseline"/>
        </w:rPr>
        <w:endnoteRef/>
      </w:r>
      <w:r w:rsidRPr="00A54C2E">
        <w:t xml:space="preserve"> </w:t>
      </w:r>
      <w:r>
        <w:tab/>
        <w:t>The Health Foundation. Innovating for improvement. The Block Room (</w:t>
      </w:r>
      <w:hyperlink r:id="rId12" w:history="1">
        <w:r w:rsidRPr="00FD4D2B">
          <w:rPr>
            <w:rStyle w:val="Hyperlink"/>
            <w:sz w:val="20"/>
          </w:rPr>
          <w:t>https://www.health.org.uk/sites/default/files/UCLH_Block%20Room.pdf</w:t>
        </w:r>
      </w:hyperlink>
      <w:r>
        <w:t xml:space="preserve">) </w:t>
      </w:r>
    </w:p>
  </w:endnote>
  <w:endnote w:id="31">
    <w:p w14:paraId="5354E4AA" w14:textId="67E674FC" w:rsidR="006F70B4" w:rsidRDefault="006F70B4" w:rsidP="006F70B4">
      <w:pPr>
        <w:pStyle w:val="References"/>
      </w:pPr>
      <w:r w:rsidRPr="006F70B4">
        <w:rPr>
          <w:rStyle w:val="EndnoteReference"/>
          <w:vertAlign w:val="baseline"/>
        </w:rPr>
        <w:endnoteRef/>
      </w:r>
      <w:r w:rsidRPr="006F70B4">
        <w:t xml:space="preserve"> </w:t>
      </w:r>
      <w:r>
        <w:tab/>
      </w:r>
      <w:r w:rsidRPr="006F70B4">
        <w:t xml:space="preserve">Brown B, Khemani E, Lin C, Armstrong K. Improving patient flow in a regional anaesthesia block room. </w:t>
      </w:r>
      <w:r w:rsidRPr="006F70B4">
        <w:rPr>
          <w:i/>
          <w:iCs/>
        </w:rPr>
        <w:t xml:space="preserve">BMJ Open Qual. </w:t>
      </w:r>
      <w:r w:rsidRPr="006F70B4">
        <w:t>2019 Apr 8;8(2)</w:t>
      </w:r>
    </w:p>
  </w:endnote>
  <w:endnote w:id="32">
    <w:p w14:paraId="465CDAA5" w14:textId="772D2DDB" w:rsidR="00B845AC" w:rsidRDefault="00B845AC" w:rsidP="00B845AC">
      <w:pPr>
        <w:pStyle w:val="References"/>
      </w:pPr>
      <w:r w:rsidRPr="00B845AC">
        <w:rPr>
          <w:rStyle w:val="EndnoteReference"/>
          <w:vertAlign w:val="baseline"/>
        </w:rPr>
        <w:endnoteRef/>
      </w:r>
      <w:r w:rsidRPr="00B845AC">
        <w:t xml:space="preserve"> </w:t>
      </w:r>
      <w:r>
        <w:tab/>
      </w:r>
      <w:r w:rsidRPr="00B845AC">
        <w:t>Royal College of Anaesthetists. Transition to non-</w:t>
      </w:r>
      <w:r w:rsidRPr="00B845AC">
        <w:t>Luer(NRFit) devices</w:t>
      </w:r>
      <w:r>
        <w:t>. 2022. (</w:t>
      </w:r>
      <w:hyperlink r:id="rId13" w:history="1">
        <w:r w:rsidRPr="0038358B">
          <w:rPr>
            <w:rStyle w:val="Hyperlink"/>
            <w:sz w:val="20"/>
          </w:rPr>
          <w:t>https://rcoa.ac.uk/news/transition-non-luer-nrfit-devices</w:t>
        </w:r>
      </w:hyperlink>
      <w:r>
        <w:t>)</w:t>
      </w:r>
    </w:p>
  </w:endnote>
  <w:endnote w:id="33">
    <w:p w14:paraId="21E32596" w14:textId="0033B0F7" w:rsidR="00C0474E" w:rsidRDefault="00C0474E" w:rsidP="00C0474E">
      <w:pPr>
        <w:pStyle w:val="References"/>
      </w:pPr>
      <w:r w:rsidRPr="00C0474E">
        <w:rPr>
          <w:rStyle w:val="EndnoteReference"/>
          <w:vertAlign w:val="baseline"/>
        </w:rPr>
        <w:endnoteRef/>
      </w:r>
      <w:r w:rsidRPr="00C0474E">
        <w:t xml:space="preserve"> </w:t>
      </w:r>
      <w:r>
        <w:tab/>
      </w:r>
      <w:r w:rsidRPr="00C0474E">
        <w:t>Association of Anaesthetists of Great Britain and Ireland. Recommendations for standards of monitoring during anaesthesia and recovery 2021</w:t>
      </w:r>
      <w:r>
        <w:t>(</w:t>
      </w:r>
      <w:hyperlink r:id="rId14" w:history="1">
        <w:r w:rsidRPr="00FD4D2B">
          <w:rPr>
            <w:rStyle w:val="Hyperlink"/>
          </w:rPr>
          <w:t>https://anaesthetists.org/Home/Resources-publications/Guidelines/Recommendations-for-standards-of-monitoring-during-anaesthesia-and-recovery-2021</w:t>
        </w:r>
      </w:hyperlink>
      <w:r>
        <w:t xml:space="preserve">) </w:t>
      </w:r>
    </w:p>
  </w:endnote>
  <w:endnote w:id="34">
    <w:p w14:paraId="244EF974" w14:textId="26909A90" w:rsidR="00C90EAC" w:rsidRDefault="00C90EAC" w:rsidP="00C90EAC">
      <w:pPr>
        <w:pStyle w:val="References"/>
      </w:pPr>
      <w:r w:rsidRPr="00C90EAC">
        <w:rPr>
          <w:rStyle w:val="EndnoteReference"/>
          <w:vertAlign w:val="baseline"/>
        </w:rPr>
        <w:endnoteRef/>
      </w:r>
      <w:r>
        <w:t xml:space="preserve"> </w:t>
      </w:r>
      <w:r>
        <w:tab/>
      </w:r>
      <w:r w:rsidRPr="00C90EAC">
        <w:t xml:space="preserve">Association of Anaesthetists of Great Britain and Ireland. </w:t>
      </w:r>
      <w:r w:rsidRPr="00C90EAC">
        <w:rPr>
          <w:i/>
          <w:iCs/>
        </w:rPr>
        <w:t>Checking Anaesthetic Equipment</w:t>
      </w:r>
      <w:r w:rsidRPr="00C90EAC">
        <w:t xml:space="preserve">. </w:t>
      </w:r>
      <w:r w:rsidR="00033A81">
        <w:t>(</w:t>
      </w:r>
      <w:hyperlink r:id="rId15" w:history="1">
        <w:r w:rsidR="00033A81" w:rsidRPr="0038358B">
          <w:rPr>
            <w:rStyle w:val="Hyperlink"/>
          </w:rPr>
          <w:t>https://anaesthetists.org/Home/Resources-publications/Guidelines/Checking-Anaesthetic-Equipment</w:t>
        </w:r>
      </w:hyperlink>
      <w:r w:rsidR="00033A81">
        <w:t xml:space="preserve">)  </w:t>
      </w:r>
      <w:r w:rsidRPr="00C90EAC">
        <w:t>2012</w:t>
      </w:r>
    </w:p>
  </w:endnote>
  <w:endnote w:id="35">
    <w:p w14:paraId="1DD6C301" w14:textId="013D9431" w:rsidR="00295E48" w:rsidRDefault="00295E48" w:rsidP="00295E48">
      <w:pPr>
        <w:pStyle w:val="References"/>
      </w:pPr>
      <w:r w:rsidRPr="00295E48">
        <w:rPr>
          <w:rStyle w:val="EndnoteReference"/>
          <w:vertAlign w:val="baseline"/>
        </w:rPr>
        <w:endnoteRef/>
      </w:r>
      <w:r w:rsidRPr="00295E48">
        <w:t xml:space="preserve"> </w:t>
      </w:r>
      <w:r>
        <w:tab/>
      </w:r>
      <w:r w:rsidRPr="00295E48">
        <w:t>Association of Anaesthetists of Great Britain and Ireland. Safe Management of Anaesthetic Related Equipment. AAGBI Safety Guideline.</w:t>
      </w:r>
      <w:r>
        <w:t xml:space="preserve"> (</w:t>
      </w:r>
      <w:hyperlink r:id="rId16" w:history="1">
        <w:r w:rsidRPr="0038358B">
          <w:rPr>
            <w:rStyle w:val="Hyperlink"/>
          </w:rPr>
          <w:t>https://anaesthetists.org/Home/Resources-publications/Guidelines/Archived-guidelines/Safe-management-of-anaesthetic-related-equipment</w:t>
        </w:r>
      </w:hyperlink>
      <w:r>
        <w:t xml:space="preserve">) </w:t>
      </w:r>
      <w:r w:rsidRPr="00295E48">
        <w:t xml:space="preserve"> 2009</w:t>
      </w:r>
    </w:p>
  </w:endnote>
  <w:endnote w:id="36">
    <w:p w14:paraId="4179F8A9" w14:textId="44378424" w:rsidR="00EF5C4A" w:rsidRDefault="00EF5C4A" w:rsidP="00EF5C4A">
      <w:pPr>
        <w:pStyle w:val="References"/>
      </w:pPr>
      <w:r w:rsidRPr="00EF5C4A">
        <w:rPr>
          <w:rStyle w:val="EndnoteReference"/>
          <w:vertAlign w:val="baseline"/>
        </w:rPr>
        <w:endnoteRef/>
      </w:r>
      <w:r>
        <w:t xml:space="preserve"> </w:t>
      </w:r>
      <w:r>
        <w:tab/>
      </w:r>
      <w:r w:rsidRPr="00EF5C4A">
        <w:t xml:space="preserve">Royal College of Anaesthetists, Association of Anaesthetists of Great </w:t>
      </w:r>
      <w:r w:rsidRPr="00EF5C4A">
        <w:t>Britain and Ireland. Storage of drugs in anaesthetic rooms.</w:t>
      </w:r>
      <w:r>
        <w:t xml:space="preserve"> </w:t>
      </w:r>
      <w:r w:rsidRPr="00EF5C4A">
        <w:t>2016</w:t>
      </w:r>
      <w:r>
        <w:t>. (</w:t>
      </w:r>
      <w:hyperlink r:id="rId17" w:history="1">
        <w:r w:rsidRPr="0038358B">
          <w:rPr>
            <w:rStyle w:val="Hyperlink"/>
          </w:rPr>
          <w:t>https://www.rcoa.ac.uk/sites/default/files/documents/2019-09/StorageDrugs2016.pdf</w:t>
        </w:r>
      </w:hyperlink>
      <w:r>
        <w:t xml:space="preserve">) </w:t>
      </w:r>
    </w:p>
  </w:endnote>
  <w:endnote w:id="37">
    <w:p w14:paraId="1DEE5273" w14:textId="2FA5F0C8" w:rsidR="00EF5C4A" w:rsidRDefault="00EF5C4A" w:rsidP="00EF5C4A">
      <w:pPr>
        <w:pStyle w:val="References"/>
      </w:pPr>
      <w:r w:rsidRPr="00EF5C4A">
        <w:rPr>
          <w:rStyle w:val="EndnoteReference"/>
          <w:vertAlign w:val="baseline"/>
        </w:rPr>
        <w:endnoteRef/>
      </w:r>
      <w:r>
        <w:t xml:space="preserve"> </w:t>
      </w:r>
      <w:r>
        <w:tab/>
      </w:r>
      <w:r w:rsidRPr="00EF5C4A">
        <w:t xml:space="preserve">Royal College of Anaesthetists, Association of Anaesthetists of Great </w:t>
      </w:r>
      <w:r w:rsidRPr="00EF5C4A">
        <w:t>Britain and Ireland. Safe drug management in anaesthetic practice. Version 2.0</w:t>
      </w:r>
      <w:r>
        <w:t>.</w:t>
      </w:r>
      <w:r w:rsidRPr="00EF5C4A">
        <w:t>2020</w:t>
      </w:r>
      <w:r>
        <w:t>. (</w:t>
      </w:r>
      <w:hyperlink r:id="rId18" w:history="1">
        <w:r w:rsidRPr="0038358B">
          <w:rPr>
            <w:rStyle w:val="Hyperlink"/>
          </w:rPr>
          <w:t>https://www.rcoa.ac.uk/news/safe-drug-management-anaesthetic-practice</w:t>
        </w:r>
      </w:hyperlink>
      <w:r>
        <w:t xml:space="preserve">) </w:t>
      </w:r>
    </w:p>
  </w:endnote>
  <w:endnote w:id="38">
    <w:p w14:paraId="6BDFBDEC" w14:textId="4FA15BD3" w:rsidR="00EF5C4A" w:rsidRDefault="00EF5C4A" w:rsidP="00EF5C4A">
      <w:pPr>
        <w:pStyle w:val="References"/>
      </w:pPr>
      <w:r w:rsidRPr="00EF5C4A">
        <w:rPr>
          <w:rStyle w:val="EndnoteReference"/>
          <w:vertAlign w:val="baseline"/>
        </w:rPr>
        <w:endnoteRef/>
      </w:r>
      <w:r w:rsidRPr="00EF5C4A">
        <w:t xml:space="preserve"> </w:t>
      </w:r>
      <w:r>
        <w:tab/>
        <w:t>Royal Pharmaceutical Society. Professional guidance on the Safe and Secure Handling of Medicines. 2018. (</w:t>
      </w:r>
      <w:hyperlink r:id="rId19" w:history="1">
        <w:r w:rsidRPr="0038358B">
          <w:rPr>
            <w:rStyle w:val="Hyperlink"/>
          </w:rPr>
          <w:t>https://www.rpharms.com/recognition/setting-professional-standards/safe-and-secure-handling-of-medicines/professional-guidance-on-the-safe-and-secure-handling-of-medicines</w:t>
        </w:r>
      </w:hyperlink>
      <w:r>
        <w:t xml:space="preserve">) </w:t>
      </w:r>
    </w:p>
  </w:endnote>
  <w:endnote w:id="39">
    <w:p w14:paraId="6C7BC6B4" w14:textId="22B11383" w:rsidR="00E0742C" w:rsidRDefault="00E0742C" w:rsidP="00E0742C">
      <w:pPr>
        <w:pStyle w:val="References"/>
      </w:pPr>
      <w:r w:rsidRPr="00E0742C">
        <w:rPr>
          <w:rStyle w:val="EndnoteReference"/>
          <w:vertAlign w:val="baseline"/>
        </w:rPr>
        <w:endnoteRef/>
      </w:r>
      <w:r w:rsidRPr="00E0742C">
        <w:t xml:space="preserve"> </w:t>
      </w:r>
      <w:r>
        <w:tab/>
        <w:t>The Misuse of Drugs regulations. 2001. (</w:t>
      </w:r>
      <w:hyperlink r:id="rId20" w:history="1">
        <w:r w:rsidRPr="004C4031">
          <w:rPr>
            <w:rStyle w:val="Hyperlink"/>
            <w:sz w:val="20"/>
          </w:rPr>
          <w:t>https://www.legislation.gov.uk/uksi/2001/3998/contents/made</w:t>
        </w:r>
      </w:hyperlink>
      <w:r>
        <w:t xml:space="preserve">) </w:t>
      </w:r>
    </w:p>
  </w:endnote>
  <w:endnote w:id="40">
    <w:p w14:paraId="0E71F862" w14:textId="695E141E" w:rsidR="00202F4E" w:rsidRDefault="00202F4E" w:rsidP="00202F4E">
      <w:pPr>
        <w:pStyle w:val="References"/>
      </w:pPr>
      <w:r w:rsidRPr="00202F4E">
        <w:rPr>
          <w:rStyle w:val="EndnoteReference"/>
          <w:vertAlign w:val="baseline"/>
        </w:rPr>
        <w:endnoteRef/>
      </w:r>
      <w:r w:rsidRPr="00202F4E">
        <w:t xml:space="preserve"> </w:t>
      </w:r>
      <w:r>
        <w:tab/>
        <w:t>Care Quality Commission. The safer management of controlled drugs. 2018 (</w:t>
      </w:r>
      <w:hyperlink r:id="rId21" w:history="1">
        <w:r w:rsidRPr="004C4031">
          <w:rPr>
            <w:rStyle w:val="Hyperlink"/>
            <w:sz w:val="20"/>
          </w:rPr>
          <w:t>https://www.cqc.org.uk/sites/default/files/20190708_controlleddrugs2018_report.pdf</w:t>
        </w:r>
      </w:hyperlink>
      <w:r>
        <w:t xml:space="preserve">) </w:t>
      </w:r>
    </w:p>
  </w:endnote>
  <w:endnote w:id="41">
    <w:p w14:paraId="241CF29C" w14:textId="249711BE" w:rsidR="0022027E" w:rsidRDefault="0022027E" w:rsidP="0022027E">
      <w:pPr>
        <w:pStyle w:val="References"/>
      </w:pPr>
      <w:r w:rsidRPr="0022027E">
        <w:rPr>
          <w:rStyle w:val="EndnoteReference"/>
          <w:vertAlign w:val="baseline"/>
        </w:rPr>
        <w:endnoteRef/>
      </w:r>
      <w:r w:rsidRPr="0022027E">
        <w:t xml:space="preserve"> </w:t>
      </w:r>
      <w:r>
        <w:tab/>
      </w:r>
      <w:r w:rsidRPr="0022027E">
        <w:t>Association of Anaesthetists of Great Britain and Ireland. Handling Injectable Medications in Anaesthesia 2023</w:t>
      </w:r>
      <w:r>
        <w:t xml:space="preserve"> (</w:t>
      </w:r>
      <w:hyperlink r:id="rId22" w:history="1">
        <w:r w:rsidRPr="0038358B">
          <w:rPr>
            <w:rStyle w:val="Hyperlink"/>
          </w:rPr>
          <w:t>https://anaesthetists.org/Home/Resources-publications/Guidelines/Handling-injectable-medications-in-anaesthesia</w:t>
        </w:r>
      </w:hyperlink>
      <w:r>
        <w:t>).</w:t>
      </w:r>
      <w:r w:rsidRPr="0022027E">
        <w:t xml:space="preserve"> </w:t>
      </w:r>
    </w:p>
  </w:endnote>
  <w:endnote w:id="42">
    <w:p w14:paraId="57056057" w14:textId="06C0956F" w:rsidR="00D5236A" w:rsidRDefault="00D5236A" w:rsidP="00D5236A">
      <w:pPr>
        <w:pStyle w:val="References"/>
      </w:pPr>
      <w:r w:rsidRPr="00D5236A">
        <w:rPr>
          <w:rStyle w:val="EndnoteReference"/>
          <w:vertAlign w:val="baseline"/>
        </w:rPr>
        <w:endnoteRef/>
      </w:r>
      <w:r w:rsidRPr="00D5236A">
        <w:t xml:space="preserve"> </w:t>
      </w:r>
      <w:r>
        <w:tab/>
      </w:r>
      <w:r w:rsidRPr="00D5236A">
        <w:t>Association of Anaesthetists of Great Britain and Ireland. Ergonomics in the Anaesthetic Workplace</w:t>
      </w:r>
      <w:r>
        <w:t>. 2021(</w:t>
      </w:r>
      <w:hyperlink r:id="rId23" w:history="1">
        <w:r w:rsidRPr="0038358B">
          <w:rPr>
            <w:rStyle w:val="Hyperlink"/>
          </w:rPr>
          <w:t>https://anaesthetists.org/Home/Resources-publications/Guidelines/Ergonomics-in-the-anaesthetic-workplace</w:t>
        </w:r>
      </w:hyperlink>
      <w:r>
        <w:t>).</w:t>
      </w:r>
    </w:p>
  </w:endnote>
  <w:endnote w:id="43">
    <w:p w14:paraId="272D9159" w14:textId="76D25AB1" w:rsidR="000726FD" w:rsidRDefault="000726FD" w:rsidP="000726FD">
      <w:pPr>
        <w:pStyle w:val="References"/>
      </w:pPr>
      <w:r w:rsidRPr="0021013A">
        <w:rPr>
          <w:rStyle w:val="EndnoteReference"/>
          <w:vertAlign w:val="baseline"/>
        </w:rPr>
        <w:endnoteRef/>
      </w:r>
      <w:r>
        <w:t xml:space="preserve"> </w:t>
      </w:r>
      <w:r>
        <w:tab/>
      </w:r>
      <w:r w:rsidRPr="0021013A">
        <w:t>Association of Anaesthetists of Great Britain and Ireland. Pre-operative Assessment and Patient Preparation: The role of the anaesthetist 2. AAGBI Safety Guideline. 2010</w:t>
      </w:r>
      <w:r>
        <w:t>. (</w:t>
      </w:r>
      <w:hyperlink r:id="rId24" w:history="1">
        <w:r w:rsidRPr="0038358B">
          <w:rPr>
            <w:rStyle w:val="Hyperlink"/>
          </w:rPr>
          <w:t>https://anaesthetists.org/Home/Resources-publications/Guidelines/Pre-operative-assessment-and-patient-preparation-the-role-of-the-anaesthetist-2</w:t>
        </w:r>
      </w:hyperlink>
      <w:r>
        <w:t xml:space="preserve">) </w:t>
      </w:r>
    </w:p>
  </w:endnote>
  <w:endnote w:id="44">
    <w:p w14:paraId="2FDF017F" w14:textId="12EC4AC5" w:rsidR="00342BC7" w:rsidRDefault="00342BC7" w:rsidP="00342BC7">
      <w:pPr>
        <w:pStyle w:val="References"/>
      </w:pPr>
      <w:r w:rsidRPr="00342BC7">
        <w:rPr>
          <w:rStyle w:val="EndnoteReference"/>
          <w:vertAlign w:val="baseline"/>
        </w:rPr>
        <w:endnoteRef/>
      </w:r>
      <w:r w:rsidRPr="00342BC7">
        <w:t xml:space="preserve"> </w:t>
      </w:r>
      <w:r>
        <w:tab/>
      </w:r>
      <w:r w:rsidRPr="0021013A">
        <w:t>Association of Anaesthetists of Great Britain and Ireland</w:t>
      </w:r>
      <w:r>
        <w:t xml:space="preserve">. </w:t>
      </w:r>
      <w:r w:rsidRPr="00342BC7">
        <w:t>Regional anaesthesia and patients with abnormalities of coagulation</w:t>
      </w:r>
      <w:r>
        <w:t>. 2013. (</w:t>
      </w:r>
      <w:hyperlink r:id="rId25" w:history="1">
        <w:r w:rsidRPr="0038358B">
          <w:rPr>
            <w:rStyle w:val="Hyperlink"/>
            <w:sz w:val="20"/>
          </w:rPr>
          <w:t>https://anaesthetists.org/Home/Resources-publications/Guidelines/Regional-anaesthesia-and-patients-with-abnormalities-of-coagulation</w:t>
        </w:r>
      </w:hyperlink>
      <w:r>
        <w:t xml:space="preserve">). </w:t>
      </w:r>
    </w:p>
  </w:endnote>
  <w:endnote w:id="45">
    <w:p w14:paraId="21FB66B8" w14:textId="438FF4D2" w:rsidR="00342BC7" w:rsidRDefault="00342BC7" w:rsidP="00342BC7">
      <w:pPr>
        <w:pStyle w:val="References"/>
      </w:pPr>
      <w:r w:rsidRPr="00342BC7">
        <w:rPr>
          <w:rStyle w:val="EndnoteReference"/>
          <w:vertAlign w:val="baseline"/>
        </w:rPr>
        <w:endnoteRef/>
      </w:r>
      <w:r w:rsidRPr="00342BC7">
        <w:t xml:space="preserve"> </w:t>
      </w:r>
      <w:r>
        <w:tab/>
        <w:t>Regional Anaesthesia United Kingdom. Patient consent for peripheral nerve blocks. 2015. (</w:t>
      </w:r>
      <w:hyperlink r:id="rId26" w:history="1">
        <w:r w:rsidRPr="0038358B">
          <w:rPr>
            <w:rStyle w:val="Hyperlink"/>
            <w:sz w:val="20"/>
          </w:rPr>
          <w:t>https://www.ra-uk.org/images/Documents/ConsentforRA2015.pdf</w:t>
        </w:r>
      </w:hyperlink>
      <w:r>
        <w:t xml:space="preserve">)   </w:t>
      </w:r>
    </w:p>
  </w:endnote>
  <w:endnote w:id="46">
    <w:p w14:paraId="2D678ACE" w14:textId="266952C5" w:rsidR="00D41E38" w:rsidRDefault="00D41E38" w:rsidP="00D41E38">
      <w:pPr>
        <w:pStyle w:val="References"/>
      </w:pPr>
      <w:r w:rsidRPr="008E0E29">
        <w:rPr>
          <w:rStyle w:val="EndnoteReference"/>
          <w:vertAlign w:val="baseline"/>
        </w:rPr>
        <w:endnoteRef/>
      </w:r>
      <w:r w:rsidRPr="008E0E29">
        <w:t xml:space="preserve"> </w:t>
      </w:r>
      <w:r>
        <w:tab/>
      </w:r>
      <w:r w:rsidRPr="00D41E38">
        <w:t xml:space="preserve">Haslam, N., </w:t>
      </w:r>
      <w:r w:rsidRPr="00D41E38">
        <w:t>Bedforth, N. and Pandit, J.J. (2022), ‘Prep, stop, block’: refreshing ‘stop before you block’ with new national guidance. Anaesthesia, 77: 372-375</w:t>
      </w:r>
      <w:r>
        <w:t>.</w:t>
      </w:r>
    </w:p>
  </w:endnote>
  <w:endnote w:id="47">
    <w:p w14:paraId="0C4AB455" w14:textId="6424235A" w:rsidR="00926933" w:rsidRDefault="00926933" w:rsidP="00926933">
      <w:pPr>
        <w:pStyle w:val="References"/>
      </w:pPr>
      <w:r w:rsidRPr="00926933">
        <w:rPr>
          <w:rStyle w:val="EndnoteReference"/>
          <w:vertAlign w:val="baseline"/>
        </w:rPr>
        <w:endnoteRef/>
      </w:r>
      <w:r w:rsidRPr="00926933">
        <w:t xml:space="preserve"> </w:t>
      </w:r>
      <w:r>
        <w:tab/>
        <w:t xml:space="preserve">RA-UK, BOA. </w:t>
      </w:r>
      <w:r w:rsidR="00B8118A">
        <w:t>Peripheral</w:t>
      </w:r>
      <w:r>
        <w:t xml:space="preserve"> nerve block </w:t>
      </w:r>
      <w:r>
        <w:t xml:space="preserve">follow up and initial management of postoperative unexpected/persistent neurological dysfunction. </w:t>
      </w:r>
      <w:hyperlink r:id="rId27" w:history="1">
        <w:r w:rsidRPr="0038358B">
          <w:rPr>
            <w:rStyle w:val="Hyperlink"/>
            <w:sz w:val="20"/>
          </w:rPr>
          <w:t>https://www.ra-uk.org/images/Documents/DEFINITIVE_RAUK_BOA_guidelines.pdf</w:t>
        </w:r>
      </w:hyperlink>
      <w:r>
        <w:t xml:space="preserve">) </w:t>
      </w:r>
    </w:p>
  </w:endnote>
  <w:endnote w:id="48">
    <w:p w14:paraId="083820A6" w14:textId="77777777" w:rsidR="009358BF" w:rsidRPr="009F57E9" w:rsidRDefault="009358BF" w:rsidP="009358BF">
      <w:pPr>
        <w:pStyle w:val="References"/>
      </w:pPr>
      <w:r w:rsidRPr="009F57E9">
        <w:rPr>
          <w:rStyle w:val="EndnoteReference"/>
          <w:vertAlign w:val="baseline"/>
        </w:rPr>
        <w:endnoteRef/>
      </w:r>
      <w:r w:rsidRPr="009F57E9">
        <w:t xml:space="preserve"> </w:t>
      </w:r>
      <w:r>
        <w:tab/>
      </w:r>
      <w:r w:rsidRPr="009F57E9">
        <w:t>Royal College of Anaesthetists. 2021 Anaesthetics Curriculum. 2021. (</w:t>
      </w:r>
      <w:hyperlink r:id="rId28" w:history="1">
        <w:r w:rsidRPr="009F57E9">
          <w:rPr>
            <w:rStyle w:val="Hyperlink"/>
          </w:rPr>
          <w:t>https://www.rcoa.ac.uk/training-careers/training-hub/2021-anaesthetics-curriculum</w:t>
        </w:r>
      </w:hyperlink>
      <w:r w:rsidRPr="009F57E9">
        <w:t xml:space="preserve">) </w:t>
      </w:r>
    </w:p>
  </w:endnote>
  <w:endnote w:id="49">
    <w:p w14:paraId="61D10097" w14:textId="50553EED" w:rsidR="006F3368" w:rsidRDefault="006F3368" w:rsidP="006F3368">
      <w:pPr>
        <w:pStyle w:val="References"/>
      </w:pPr>
      <w:r w:rsidRPr="006F3368">
        <w:rPr>
          <w:rStyle w:val="EndnoteReference"/>
          <w:vertAlign w:val="baseline"/>
        </w:rPr>
        <w:endnoteRef/>
      </w:r>
      <w:r>
        <w:t xml:space="preserve"> </w:t>
      </w:r>
      <w:r>
        <w:tab/>
      </w:r>
      <w:r w:rsidRPr="006F3368">
        <w:t xml:space="preserve">Topor B, Oldman M, Nicholls B. Best practices for safety and quality in regional anaesthesia. BJA Educ 2020; 20: 341-347  </w:t>
      </w:r>
    </w:p>
  </w:endnote>
  <w:endnote w:id="50">
    <w:p w14:paraId="1F11F639" w14:textId="62C0DE25" w:rsidR="00F11D9C" w:rsidRDefault="00F11D9C" w:rsidP="00F11D9C">
      <w:pPr>
        <w:pStyle w:val="References"/>
      </w:pPr>
      <w:r w:rsidRPr="00F11D9C">
        <w:rPr>
          <w:rStyle w:val="EndnoteReference"/>
          <w:vertAlign w:val="baseline"/>
        </w:rPr>
        <w:endnoteRef/>
      </w:r>
      <w:r w:rsidRPr="00F11D9C">
        <w:t xml:space="preserve"> </w:t>
      </w:r>
      <w:r>
        <w:tab/>
      </w:r>
      <w:r w:rsidRPr="00F11D9C">
        <w:t>General Medical Council. Good Medical Practice, 2024 (</w:t>
      </w:r>
      <w:hyperlink r:id="rId29" w:history="1">
        <w:r w:rsidRPr="00FD4D2B">
          <w:rPr>
            <w:rStyle w:val="Hyperlink"/>
            <w:sz w:val="20"/>
          </w:rPr>
          <w:t>https://www.gmc-uk.org/professional-standards/good-medical-practice-2024</w:t>
        </w:r>
      </w:hyperlink>
      <w:r w:rsidRPr="00F11D9C">
        <w:t>)</w:t>
      </w:r>
      <w:r>
        <w:t xml:space="preserve"> </w:t>
      </w:r>
    </w:p>
  </w:endnote>
  <w:endnote w:id="51">
    <w:p w14:paraId="4FE4564D" w14:textId="1AA2631C" w:rsidR="002F327F" w:rsidRDefault="002F327F" w:rsidP="002F327F">
      <w:pPr>
        <w:pStyle w:val="References"/>
      </w:pPr>
      <w:r w:rsidRPr="002F327F">
        <w:rPr>
          <w:rStyle w:val="EndnoteReference"/>
          <w:vertAlign w:val="baseline"/>
        </w:rPr>
        <w:endnoteRef/>
      </w:r>
      <w:r w:rsidRPr="002F327F">
        <w:t xml:space="preserve"> </w:t>
      </w:r>
      <w:r>
        <w:tab/>
      </w:r>
      <w:r w:rsidRPr="002F327F">
        <w:t>Association of Anaesthetists of Great Britain and Ireland. UK National Core Competencies for Post-Anaesthesia Care. Post-Anaesthesia Recovery</w:t>
      </w:r>
      <w:r>
        <w:t>. 2</w:t>
      </w:r>
      <w:r w:rsidRPr="002F327F">
        <w:t xml:space="preserve">013. </w:t>
      </w:r>
    </w:p>
  </w:endnote>
  <w:endnote w:id="52">
    <w:p w14:paraId="05D44190" w14:textId="1C171B64" w:rsidR="00E54C4F" w:rsidRDefault="00E54C4F" w:rsidP="00E54C4F">
      <w:pPr>
        <w:pStyle w:val="References"/>
      </w:pPr>
      <w:r w:rsidRPr="00E54C4F">
        <w:rPr>
          <w:rStyle w:val="EndnoteReference"/>
          <w:vertAlign w:val="baseline"/>
        </w:rPr>
        <w:endnoteRef/>
      </w:r>
      <w:r w:rsidRPr="00E54C4F">
        <w:t xml:space="preserve"> </w:t>
      </w:r>
      <w:r>
        <w:tab/>
      </w:r>
      <w:r w:rsidRPr="00E54C4F">
        <w:t>General Medical Council. The ‘Good medical practice’ framework for appraisal and revalidation</w:t>
      </w:r>
      <w:r>
        <w:t>.</w:t>
      </w:r>
      <w:r w:rsidRPr="00E54C4F">
        <w:t xml:space="preserve"> 2013</w:t>
      </w:r>
      <w:r>
        <w:t xml:space="preserve">. </w:t>
      </w:r>
      <w:r w:rsidR="00F11D9C">
        <w:t>(</w:t>
      </w:r>
      <w:hyperlink r:id="rId30" w:history="1">
        <w:r w:rsidR="00F11D9C" w:rsidRPr="00FD4D2B">
          <w:rPr>
            <w:rStyle w:val="Hyperlink"/>
          </w:rPr>
          <w:t>https://www.gmc-uk.org/professional-standards/professional-standards-for-doctors/good-medical-practice</w:t>
        </w:r>
      </w:hyperlink>
      <w:r>
        <w:t xml:space="preserve">) </w:t>
      </w:r>
    </w:p>
  </w:endnote>
  <w:endnote w:id="53">
    <w:p w14:paraId="0BCB4E71" w14:textId="368BF2E1" w:rsidR="00CC6040" w:rsidRDefault="00CC6040" w:rsidP="00CC6040">
      <w:pPr>
        <w:pStyle w:val="References"/>
      </w:pPr>
      <w:r w:rsidRPr="00CC6040">
        <w:rPr>
          <w:rStyle w:val="EndnoteReference"/>
          <w:vertAlign w:val="baseline"/>
        </w:rPr>
        <w:endnoteRef/>
      </w:r>
      <w:r>
        <w:t xml:space="preserve"> </w:t>
      </w:r>
      <w:r>
        <w:tab/>
      </w:r>
      <w:r w:rsidRPr="00CC6040">
        <w:t>Association of Paediatric Anaesthetists of Great Britain and Ireland. Good practice in postoperative and procedural pain (2nd Edition)</w:t>
      </w:r>
      <w:r>
        <w:t>.</w:t>
      </w:r>
      <w:r w:rsidRPr="00CC6040">
        <w:t xml:space="preserve"> 2012</w:t>
      </w:r>
      <w:r>
        <w:t>. (</w:t>
      </w:r>
      <w:hyperlink r:id="rId31" w:history="1">
        <w:r w:rsidRPr="004C4031">
          <w:rPr>
            <w:rStyle w:val="Hyperlink"/>
          </w:rPr>
          <w:t>https://www.apagbi.org.uk/sites/default/files/inline-files/APA%20Guideline%20part%201.pdf</w:t>
        </w:r>
      </w:hyperlink>
      <w:r>
        <w:t xml:space="preserve">) </w:t>
      </w:r>
    </w:p>
  </w:endnote>
  <w:endnote w:id="54">
    <w:p w14:paraId="19D9BD3E" w14:textId="16CE5D92" w:rsidR="00CC6040" w:rsidRDefault="00CC6040" w:rsidP="00CC6040">
      <w:pPr>
        <w:pStyle w:val="References"/>
      </w:pPr>
      <w:r w:rsidRPr="00CC6040">
        <w:rPr>
          <w:rStyle w:val="EndnoteReference"/>
          <w:vertAlign w:val="baseline"/>
        </w:rPr>
        <w:endnoteRef/>
      </w:r>
      <w:r w:rsidRPr="00CC6040">
        <w:t xml:space="preserve"> </w:t>
      </w:r>
      <w:r>
        <w:tab/>
      </w:r>
      <w:r w:rsidRPr="00CA075E">
        <w:rPr>
          <w:color w:val="auto"/>
        </w:rPr>
        <w:t>Guidelines for Day-Case surgery. Guidelines from the Association of Anaesthetists and the British Association of Day Surgery</w:t>
      </w:r>
      <w:r>
        <w:t>. 2019. (</w:t>
      </w:r>
      <w:hyperlink r:id="rId32" w:history="1">
        <w:r w:rsidRPr="004C4031">
          <w:rPr>
            <w:rStyle w:val="Hyperlink"/>
            <w:sz w:val="20"/>
            <w:szCs w:val="22"/>
          </w:rPr>
          <w:t>https://associationofanaesthetists-publications.onlinelibrary.wiley.com/doi/full/10.1111/anae.14639</w:t>
        </w:r>
      </w:hyperlink>
      <w:r>
        <w:t xml:space="preserve">) </w:t>
      </w:r>
    </w:p>
  </w:endnote>
  <w:endnote w:id="55">
    <w:p w14:paraId="1BFF07A7" w14:textId="418B9DC4" w:rsidR="006B556B" w:rsidRDefault="006B556B" w:rsidP="006B556B">
      <w:pPr>
        <w:pStyle w:val="References"/>
      </w:pPr>
      <w:r w:rsidRPr="006B556B">
        <w:rPr>
          <w:rStyle w:val="EndnoteReference"/>
          <w:vertAlign w:val="baseline"/>
        </w:rPr>
        <w:endnoteRef/>
      </w:r>
      <w:r w:rsidRPr="006B556B">
        <w:t xml:space="preserve"> </w:t>
      </w:r>
      <w:r>
        <w:tab/>
      </w:r>
      <w:r w:rsidRPr="006B556B">
        <w:t>Association of Anaesthetists</w:t>
      </w:r>
      <w:r>
        <w:t xml:space="preserve">. </w:t>
      </w:r>
      <w:r w:rsidRPr="006B556B">
        <w:t>Guideline on anaesthesia and sedation in breastfeeding women</w:t>
      </w:r>
      <w:r>
        <w:t>.</w:t>
      </w:r>
      <w:r w:rsidRPr="006B556B">
        <w:t xml:space="preserve"> 2020</w:t>
      </w:r>
      <w:r>
        <w:t>. (</w:t>
      </w:r>
      <w:hyperlink r:id="rId33" w:history="1">
        <w:r w:rsidRPr="004C4031">
          <w:rPr>
            <w:rStyle w:val="Hyperlink"/>
            <w:sz w:val="20"/>
          </w:rPr>
          <w:t>https://anaesthetists.org/Home/Resources-publications/Guidelines/Anaesthesia-and-sedation-in-breastfeeding-women-2020</w:t>
        </w:r>
      </w:hyperlink>
      <w:r>
        <w:t xml:space="preserve">) </w:t>
      </w:r>
    </w:p>
  </w:endnote>
  <w:endnote w:id="56">
    <w:p w14:paraId="161A6F6F" w14:textId="7C15712A" w:rsidR="003E654F" w:rsidRDefault="003E654F" w:rsidP="003E654F">
      <w:pPr>
        <w:pStyle w:val="References"/>
      </w:pPr>
      <w:r w:rsidRPr="003E654F">
        <w:rPr>
          <w:rStyle w:val="EndnoteReference"/>
          <w:vertAlign w:val="baseline"/>
        </w:rPr>
        <w:endnoteRef/>
      </w:r>
      <w:r w:rsidRPr="003E654F">
        <w:t xml:space="preserve"> </w:t>
      </w:r>
      <w:r>
        <w:tab/>
      </w:r>
      <w:r w:rsidRPr="003E654F">
        <w:t xml:space="preserve">Haggerty E, Daly J. </w:t>
      </w:r>
      <w:r w:rsidRPr="003E654F">
        <w:t>Anaesthesia and non-obstetric surgery in pregnancy. BJA Educ. 2021 Feb</w:t>
      </w:r>
      <w:r>
        <w:t xml:space="preserve"> </w:t>
      </w:r>
      <w:r w:rsidRPr="003E654F">
        <w:t>21:42-43</w:t>
      </w:r>
    </w:p>
  </w:endnote>
  <w:endnote w:id="57">
    <w:p w14:paraId="67E4F14E" w14:textId="49634029" w:rsidR="00287AA4" w:rsidRDefault="00287AA4" w:rsidP="00287AA4">
      <w:pPr>
        <w:pStyle w:val="References"/>
      </w:pPr>
      <w:r w:rsidRPr="00287AA4">
        <w:rPr>
          <w:rStyle w:val="EndnoteReference"/>
          <w:vertAlign w:val="baseline"/>
        </w:rPr>
        <w:endnoteRef/>
      </w:r>
      <w:r w:rsidRPr="00287AA4">
        <w:t xml:space="preserve"> </w:t>
      </w:r>
      <w:r>
        <w:tab/>
      </w:r>
      <w:r w:rsidRPr="00287AA4">
        <w:t>Association of Anaesthetists of Great Britain and Ireland. Peri-operative care of the elderly 2014. Anaesthesia 2014</w:t>
      </w:r>
    </w:p>
  </w:endnote>
  <w:endnote w:id="58">
    <w:p w14:paraId="7B746323" w14:textId="0C181AAB" w:rsidR="00335C54" w:rsidRDefault="00335C54" w:rsidP="00335C54">
      <w:pPr>
        <w:pStyle w:val="References"/>
      </w:pPr>
      <w:r w:rsidRPr="00335C54">
        <w:rPr>
          <w:rStyle w:val="EndnoteReference"/>
          <w:vertAlign w:val="baseline"/>
        </w:rPr>
        <w:endnoteRef/>
      </w:r>
      <w:r>
        <w:tab/>
      </w:r>
      <w:r w:rsidRPr="00335C54">
        <w:t>Association of Anaesthetists of Great Britain and Ireland Society for Obesity and Bariatric Anaesthesia</w:t>
      </w:r>
      <w:r>
        <w:t xml:space="preserve">. </w:t>
      </w:r>
      <w:r w:rsidRPr="00335C54">
        <w:t>Peri-operative management of the obese surgical patient</w:t>
      </w:r>
      <w:r>
        <w:t>.</w:t>
      </w:r>
      <w:r w:rsidRPr="00335C54">
        <w:t xml:space="preserve"> 2015</w:t>
      </w:r>
    </w:p>
  </w:endnote>
  <w:endnote w:id="59">
    <w:p w14:paraId="5E14D489" w14:textId="6C8778F7" w:rsidR="004B1EEE" w:rsidRDefault="004B1EEE" w:rsidP="004B1EEE">
      <w:pPr>
        <w:pStyle w:val="References"/>
      </w:pPr>
      <w:r w:rsidRPr="004B1EEE">
        <w:rPr>
          <w:rStyle w:val="EndnoteReference"/>
          <w:vertAlign w:val="baseline"/>
        </w:rPr>
        <w:endnoteRef/>
      </w:r>
      <w:r w:rsidRPr="004B1EEE">
        <w:t xml:space="preserve"> </w:t>
      </w:r>
      <w:r w:rsidRPr="004B1EEE">
        <w:tab/>
        <w:t>British Orthopaedic Association. The Management of Blunt Chest Wall Trauma. British Orthopaedic Association Audit Standards for Trauma. 2016</w:t>
      </w:r>
      <w:r>
        <w:t>. (</w:t>
      </w:r>
      <w:hyperlink r:id="rId34" w:history="1">
        <w:r w:rsidRPr="004C4031">
          <w:rPr>
            <w:rStyle w:val="Hyperlink"/>
          </w:rPr>
          <w:t>https://www.boa.ac.uk/standards-guidance/boasts/trauma-boasts.html</w:t>
        </w:r>
      </w:hyperlink>
      <w:r>
        <w:t xml:space="preserve">) </w:t>
      </w:r>
    </w:p>
  </w:endnote>
  <w:endnote w:id="60">
    <w:p w14:paraId="0E0522A9" w14:textId="613718ED" w:rsidR="00A22EBB" w:rsidRDefault="00A22EBB" w:rsidP="00A22EBB">
      <w:pPr>
        <w:pStyle w:val="References"/>
      </w:pPr>
      <w:r w:rsidRPr="00A22EBB">
        <w:rPr>
          <w:rStyle w:val="EndnoteReference"/>
          <w:vertAlign w:val="baseline"/>
        </w:rPr>
        <w:endnoteRef/>
      </w:r>
      <w:r w:rsidRPr="00A22EBB">
        <w:t xml:space="preserve"> </w:t>
      </w:r>
      <w:r>
        <w:tab/>
      </w:r>
      <w:r w:rsidRPr="00A22EBB">
        <w:t>Association of Anaesthetists. Regional Analgesia for Lower Leg Trauma and the Risk of Acute Compartment Syndrome. London, 202</w:t>
      </w:r>
      <w:r>
        <w:t>1</w:t>
      </w:r>
    </w:p>
  </w:endnote>
  <w:endnote w:id="61">
    <w:p w14:paraId="77CC2FC4" w14:textId="27B7F48C" w:rsidR="00F623E3" w:rsidRDefault="00F623E3" w:rsidP="00F623E3">
      <w:pPr>
        <w:pStyle w:val="References"/>
      </w:pPr>
      <w:r w:rsidRPr="00F623E3">
        <w:rPr>
          <w:rStyle w:val="EndnoteReference"/>
          <w:vertAlign w:val="baseline"/>
        </w:rPr>
        <w:endnoteRef/>
      </w:r>
      <w:r w:rsidRPr="00F623E3">
        <w:t xml:space="preserve"> </w:t>
      </w:r>
      <w:r>
        <w:tab/>
      </w:r>
      <w:r w:rsidRPr="00F623E3">
        <w:t>Royal College of Anaesthetists. Guidelines for the Provision of Anaesthetic Services Chapter 7: Guidelines for the Provision of Anaesthesia Services in the Non-theatre Environment</w:t>
      </w:r>
      <w:r>
        <w:t>. 2024 (</w:t>
      </w:r>
      <w:hyperlink r:id="rId35" w:history="1">
        <w:r w:rsidRPr="004C4031">
          <w:rPr>
            <w:rStyle w:val="Hyperlink"/>
            <w:sz w:val="20"/>
          </w:rPr>
          <w:t>https://rcoa.ac.uk/chapter-7</w:t>
        </w:r>
      </w:hyperlink>
      <w:r>
        <w:t xml:space="preserve">) </w:t>
      </w:r>
    </w:p>
  </w:endnote>
  <w:endnote w:id="62">
    <w:p w14:paraId="29DB6279" w14:textId="0F281799" w:rsidR="00C814C3" w:rsidRDefault="00C814C3" w:rsidP="00C814C3">
      <w:pPr>
        <w:pStyle w:val="References"/>
      </w:pPr>
      <w:r w:rsidRPr="00C814C3">
        <w:rPr>
          <w:rStyle w:val="EndnoteReference"/>
          <w:vertAlign w:val="baseline"/>
        </w:rPr>
        <w:endnoteRef/>
      </w:r>
      <w:r w:rsidRPr="00C814C3">
        <w:t xml:space="preserve"> </w:t>
      </w:r>
      <w:r>
        <w:tab/>
      </w:r>
      <w:r w:rsidRPr="00C814C3">
        <w:t xml:space="preserve">Mack P. Medication safety in nonoperating room anesthesiology, </w:t>
      </w:r>
      <w:r w:rsidRPr="00C814C3">
        <w:rPr>
          <w:i/>
          <w:iCs/>
        </w:rPr>
        <w:t>Curr Opin Anaesthesiol</w:t>
      </w:r>
      <w:r w:rsidRPr="00C814C3">
        <w:t>. 2021; 34: 443–8</w:t>
      </w:r>
    </w:p>
  </w:endnote>
  <w:endnote w:id="63">
    <w:p w14:paraId="3B772763" w14:textId="580E460F" w:rsidR="00B839F4" w:rsidRDefault="00B839F4" w:rsidP="00B839F4">
      <w:pPr>
        <w:pStyle w:val="References"/>
      </w:pPr>
      <w:r w:rsidRPr="00B839F4">
        <w:rPr>
          <w:rStyle w:val="EndnoteReference"/>
          <w:vertAlign w:val="baseline"/>
        </w:rPr>
        <w:endnoteRef/>
      </w:r>
      <w:r w:rsidRPr="00B839F4">
        <w:t xml:space="preserve"> </w:t>
      </w:r>
      <w:r>
        <w:tab/>
      </w:r>
      <w:r w:rsidRPr="00B839F4">
        <w:t>The Royal College of Emergency Medicine Best Practice Guideline.</w:t>
      </w:r>
      <w:r>
        <w:t xml:space="preserve"> (</w:t>
      </w:r>
      <w:r w:rsidRPr="00B839F4">
        <w:t>https://rcem.ac.uk/clinical-guidelines/</w:t>
      </w:r>
      <w:r>
        <w:t>)</w:t>
      </w:r>
    </w:p>
  </w:endnote>
  <w:endnote w:id="64">
    <w:p w14:paraId="0B411D0D" w14:textId="014F1853" w:rsidR="00E67B66" w:rsidRDefault="00E67B66" w:rsidP="00BB523B">
      <w:pPr>
        <w:pStyle w:val="References"/>
      </w:pPr>
      <w:r w:rsidRPr="00BB523B">
        <w:rPr>
          <w:rStyle w:val="EndnoteReference"/>
          <w:vertAlign w:val="baseline"/>
        </w:rPr>
        <w:endnoteRef/>
      </w:r>
      <w:r w:rsidRPr="00BB523B">
        <w:t xml:space="preserve"> </w:t>
      </w:r>
      <w:r w:rsidR="00BB523B">
        <w:tab/>
      </w:r>
      <w:r w:rsidRPr="00E67B66">
        <w:t>Association of Anaesthetists. Management of Hip Fractures</w:t>
      </w:r>
      <w:r w:rsidR="00BB523B">
        <w:t>. 202. (</w:t>
      </w:r>
      <w:hyperlink r:id="rId36" w:history="1">
        <w:r w:rsidR="00BB523B" w:rsidRPr="004C4031">
          <w:rPr>
            <w:rStyle w:val="Hyperlink"/>
            <w:sz w:val="20"/>
          </w:rPr>
          <w:t>https://anaesthetists.org/Home/Resources-publications/Guidelines/Management-of-hip-fractures-2020</w:t>
        </w:r>
      </w:hyperlink>
      <w:r w:rsidR="00BB523B">
        <w:t xml:space="preserve">) </w:t>
      </w:r>
    </w:p>
  </w:endnote>
  <w:endnote w:id="65">
    <w:p w14:paraId="64228D48" w14:textId="15537724" w:rsidR="00B8118A" w:rsidRDefault="00B8118A" w:rsidP="00B8118A">
      <w:pPr>
        <w:pStyle w:val="References"/>
      </w:pPr>
      <w:r w:rsidRPr="00B8118A">
        <w:rPr>
          <w:rStyle w:val="EndnoteReference"/>
          <w:vertAlign w:val="baseline"/>
        </w:rPr>
        <w:endnoteRef/>
      </w:r>
      <w:r w:rsidRPr="00B8118A">
        <w:t xml:space="preserve"> </w:t>
      </w:r>
      <w:r>
        <w:tab/>
        <w:t xml:space="preserve">Getting It Right First Time. </w:t>
      </w:r>
      <w:r w:rsidRPr="00B8118A">
        <w:t>National-Day</w:t>
      </w:r>
      <w:r>
        <w:t xml:space="preserve"> </w:t>
      </w:r>
      <w:r w:rsidRPr="00B8118A">
        <w:t>Surgery</w:t>
      </w:r>
      <w:r>
        <w:t xml:space="preserve"> </w:t>
      </w:r>
      <w:r w:rsidRPr="00B8118A">
        <w:t>Delivery</w:t>
      </w:r>
      <w:r>
        <w:t xml:space="preserve"> </w:t>
      </w:r>
      <w:r w:rsidRPr="00B8118A">
        <w:t>Pack</w:t>
      </w:r>
      <w:r>
        <w:t>. 2020. (</w:t>
      </w:r>
      <w:hyperlink r:id="rId37" w:history="1">
        <w:r w:rsidRPr="004C4031">
          <w:rPr>
            <w:rStyle w:val="Hyperlink"/>
            <w:sz w:val="20"/>
          </w:rPr>
          <w:t>https://www.gettingitrightfirsttime.co.uk/wp-content/uploads/2020/10/National-Day-Surgery-Delivery-Pack_Sept2020_final.pdf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 Pro W3">
    <w:altName w:val="MS Mincho"/>
    <w:panose1 w:val="00000000000000000000"/>
    <w:charset w:val="80"/>
    <w:family w:val="auto"/>
    <w:notTrueType/>
    <w:pitch w:val="variable"/>
    <w:sig w:usb0="00000001" w:usb1="08070000" w:usb2="00000010" w:usb3="00000000" w:csb0="00020000" w:csb1="00000000"/>
  </w:font>
  <w:font w:name="Tipo de letra del sistema Fina">
    <w:altName w:val="Times New Roman"/>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CBE4" w14:textId="53345518" w:rsidR="00E26F13" w:rsidRPr="00625273" w:rsidRDefault="00E26F13" w:rsidP="00625273">
    <w:pPr>
      <w:pStyle w:val="Footer"/>
      <w:jc w:val="right"/>
    </w:pPr>
    <w:r w:rsidRPr="008037C6">
      <w:rPr>
        <w:b/>
        <w:bCs/>
        <w:color w:val="CD6084" w:themeColor="accent5"/>
      </w:rPr>
      <w:t>|</w:t>
    </w:r>
    <w:r w:rsidRPr="008037C6">
      <w:rPr>
        <w:b/>
        <w:bCs/>
      </w:rPr>
      <w:t> </w:t>
    </w:r>
    <w:r w:rsidRPr="008037C6">
      <w:rPr>
        <w:bCs/>
        <w:szCs w:val="20"/>
      </w:rPr>
      <w:fldChar w:fldCharType="begin"/>
    </w:r>
    <w:r w:rsidRPr="008037C6">
      <w:rPr>
        <w:bCs/>
        <w:szCs w:val="20"/>
      </w:rPr>
      <w:instrText xml:space="preserve"> PAGE </w:instrText>
    </w:r>
    <w:r w:rsidRPr="008037C6">
      <w:rPr>
        <w:bCs/>
        <w:szCs w:val="20"/>
      </w:rPr>
      <w:fldChar w:fldCharType="separate"/>
    </w:r>
    <w:r w:rsidR="00967EC8">
      <w:rPr>
        <w:bCs/>
        <w:noProof/>
        <w:szCs w:val="20"/>
      </w:rPr>
      <w:t>14</w:t>
    </w:r>
    <w:r w:rsidRPr="008037C6">
      <w:rPr>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15CE" w14:textId="77777777" w:rsidR="00472CE1" w:rsidRDefault="00472CE1" w:rsidP="00926F3E">
      <w:pPr>
        <w:spacing w:after="0"/>
      </w:pPr>
      <w:r>
        <w:separator/>
      </w:r>
    </w:p>
  </w:footnote>
  <w:footnote w:type="continuationSeparator" w:id="0">
    <w:p w14:paraId="3B3B2319" w14:textId="77777777" w:rsidR="00472CE1" w:rsidRDefault="00472CE1" w:rsidP="00926F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C270" w14:textId="794F5B7C" w:rsidR="00E26F13" w:rsidRPr="007B719F" w:rsidRDefault="00E26F13" w:rsidP="006B200B">
    <w:pPr>
      <w:pStyle w:val="Header"/>
      <w:rPr>
        <w:rFonts w:asciiTheme="majorHAnsi" w:hAnsiTheme="majorHAnsi"/>
        <w:b/>
        <w:color w:val="FFFFFF" w:themeColor="background1"/>
        <w:sz w:val="28"/>
        <w:szCs w:val="28"/>
      </w:rPr>
    </w:pPr>
    <w:r w:rsidRPr="008037C6">
      <w:rPr>
        <w:b/>
        <w:noProof/>
        <w:sz w:val="28"/>
        <w:szCs w:val="28"/>
      </w:rPr>
      <mc:AlternateContent>
        <mc:Choice Requires="wps">
          <w:drawing>
            <wp:anchor distT="0" distB="0" distL="114300" distR="114300" simplePos="0" relativeHeight="251659264" behindDoc="1" locked="0" layoutInCell="1" allowOverlap="1" wp14:anchorId="2ED5209F" wp14:editId="1AE25C69">
              <wp:simplePos x="0" y="0"/>
              <wp:positionH relativeFrom="column">
                <wp:posOffset>-840740</wp:posOffset>
              </wp:positionH>
              <wp:positionV relativeFrom="paragraph">
                <wp:posOffset>-460155</wp:posOffset>
              </wp:positionV>
              <wp:extent cx="7759700" cy="1397000"/>
              <wp:effectExtent l="50800" t="25400" r="50800" b="63500"/>
              <wp:wrapNone/>
              <wp:docPr id="3" name="Rectangle 3"/>
              <wp:cNvGraphicFramePr/>
              <a:graphic xmlns:a="http://schemas.openxmlformats.org/drawingml/2006/main">
                <a:graphicData uri="http://schemas.microsoft.com/office/word/2010/wordprocessingShape">
                  <wps:wsp>
                    <wps:cNvSpPr/>
                    <wps:spPr>
                      <a:xfrm>
                        <a:off x="0" y="0"/>
                        <a:ext cx="7759700" cy="1397000"/>
                      </a:xfrm>
                      <a:prstGeom prst="rect">
                        <a:avLst/>
                      </a:prstGeom>
                      <a:solidFill>
                        <a:schemeClr val="accent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E3162" id="Rectangle 3" o:spid="_x0000_s1026" style="position:absolute;margin-left:-66.2pt;margin-top:-36.25pt;width:611pt;height:1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" fillcolor="#291f51 [3204]" stroked="f">
              <v:shadow on="t" color="black" opacity="22937f" origin=",.5" offset="0,.63889mm"/>
            </v:rect>
          </w:pict>
        </mc:Fallback>
      </mc:AlternateContent>
    </w:r>
    <w:r w:rsidR="00AD37D4">
      <w:rPr>
        <w:rFonts w:asciiTheme="majorHAnsi" w:hAnsiTheme="majorHAnsi"/>
        <w:b/>
        <w:color w:val="FFFFFF" w:themeColor="background1"/>
        <w:sz w:val="28"/>
        <w:szCs w:val="28"/>
      </w:rPr>
      <w:t xml:space="preserve">Chapter 8: </w:t>
    </w:r>
    <w:r w:rsidRPr="00DD7E94">
      <w:rPr>
        <w:rFonts w:asciiTheme="majorHAnsi" w:hAnsiTheme="majorHAnsi"/>
        <w:b/>
        <w:color w:val="FFFFFF" w:themeColor="background1"/>
        <w:sz w:val="28"/>
        <w:szCs w:val="28"/>
      </w:rPr>
      <w:t xml:space="preserve">Guidelines for the Provision of </w:t>
    </w:r>
    <w:r w:rsidR="00DF64E7">
      <w:rPr>
        <w:rFonts w:asciiTheme="majorHAnsi" w:hAnsiTheme="majorHAnsi"/>
        <w:b/>
        <w:color w:val="FFFFFF" w:themeColor="background1"/>
        <w:sz w:val="28"/>
        <w:szCs w:val="28"/>
      </w:rPr>
      <w:t xml:space="preserve">Regional </w:t>
    </w:r>
    <w:r w:rsidRPr="00DD7E94">
      <w:rPr>
        <w:rFonts w:asciiTheme="majorHAnsi" w:hAnsiTheme="majorHAnsi"/>
        <w:b/>
        <w:color w:val="FFFFFF" w:themeColor="background1"/>
        <w:sz w:val="28"/>
        <w:szCs w:val="28"/>
      </w:rPr>
      <w:t>Anaesthesia Services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535"/>
    <w:multiLevelType w:val="hybridMultilevel"/>
    <w:tmpl w:val="2BACA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AE51FC"/>
    <w:multiLevelType w:val="hybridMultilevel"/>
    <w:tmpl w:val="525CE352"/>
    <w:lvl w:ilvl="0" w:tplc="41629760">
      <w:start w:val="1"/>
      <w:numFmt w:val="bullet"/>
      <w:lvlText w:val=""/>
      <w:lvlJc w:val="left"/>
      <w:pPr>
        <w:ind w:left="720" w:hanging="360"/>
      </w:pPr>
      <w:rPr>
        <w:rFonts w:ascii="Symbol" w:hAnsi="Symbol" w:hint="default"/>
        <w:color w:val="50ABBF"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75571B"/>
    <w:multiLevelType w:val="hybridMultilevel"/>
    <w:tmpl w:val="D958A88E"/>
    <w:styleLink w:val="Bullet"/>
    <w:lvl w:ilvl="0" w:tplc="01AEB79C">
      <w:start w:val="1"/>
      <w:numFmt w:val="bullet"/>
      <w:lvlText w:val="•"/>
      <w:lvlJc w:val="left"/>
      <w:pPr>
        <w:ind w:left="180" w:hanging="180"/>
      </w:pPr>
      <w:rPr>
        <w:rFonts w:hAnsi="Arial Unicode MS"/>
        <w:caps w:val="0"/>
        <w:smallCaps w:val="0"/>
        <w:strike w:val="0"/>
        <w:dstrike w:val="0"/>
        <w:color w:val="000000"/>
        <w:spacing w:val="0"/>
        <w:w w:val="100"/>
        <w:kern w:val="0"/>
        <w:position w:val="-2"/>
        <w:vertAlign w:val="baseline"/>
      </w:rPr>
    </w:lvl>
    <w:lvl w:ilvl="1" w:tplc="5ACE262A">
      <w:start w:val="1"/>
      <w:numFmt w:val="bullet"/>
      <w:lvlText w:val="•"/>
      <w:lvlJc w:val="left"/>
      <w:pPr>
        <w:ind w:left="360" w:hanging="180"/>
      </w:pPr>
      <w:rPr>
        <w:rFonts w:hAnsi="Arial Unicode MS"/>
        <w:caps w:val="0"/>
        <w:smallCaps w:val="0"/>
        <w:strike w:val="0"/>
        <w:dstrike w:val="0"/>
        <w:color w:val="000000"/>
        <w:spacing w:val="0"/>
        <w:w w:val="100"/>
        <w:kern w:val="0"/>
        <w:position w:val="-2"/>
        <w:vertAlign w:val="baseline"/>
      </w:rPr>
    </w:lvl>
    <w:lvl w:ilvl="2" w:tplc="8216E76A">
      <w:start w:val="1"/>
      <w:numFmt w:val="bullet"/>
      <w:lvlText w:val="•"/>
      <w:lvlJc w:val="left"/>
      <w:pPr>
        <w:ind w:left="540" w:hanging="180"/>
      </w:pPr>
      <w:rPr>
        <w:rFonts w:hAnsi="Arial Unicode MS"/>
        <w:caps w:val="0"/>
        <w:smallCaps w:val="0"/>
        <w:strike w:val="0"/>
        <w:dstrike w:val="0"/>
        <w:color w:val="000000"/>
        <w:spacing w:val="0"/>
        <w:w w:val="100"/>
        <w:kern w:val="0"/>
        <w:position w:val="-2"/>
        <w:vertAlign w:val="baseline"/>
      </w:rPr>
    </w:lvl>
    <w:lvl w:ilvl="3" w:tplc="80525922">
      <w:start w:val="1"/>
      <w:numFmt w:val="bullet"/>
      <w:lvlText w:val="•"/>
      <w:lvlJc w:val="left"/>
      <w:pPr>
        <w:ind w:left="720" w:hanging="180"/>
      </w:pPr>
      <w:rPr>
        <w:rFonts w:hAnsi="Arial Unicode MS"/>
        <w:caps w:val="0"/>
        <w:smallCaps w:val="0"/>
        <w:strike w:val="0"/>
        <w:dstrike w:val="0"/>
        <w:color w:val="000000"/>
        <w:spacing w:val="0"/>
        <w:w w:val="100"/>
        <w:kern w:val="0"/>
        <w:position w:val="-2"/>
        <w:vertAlign w:val="baseline"/>
      </w:rPr>
    </w:lvl>
    <w:lvl w:ilvl="4" w:tplc="FD065618">
      <w:start w:val="1"/>
      <w:numFmt w:val="bullet"/>
      <w:lvlText w:val="•"/>
      <w:lvlJc w:val="left"/>
      <w:pPr>
        <w:ind w:left="900" w:hanging="180"/>
      </w:pPr>
      <w:rPr>
        <w:rFonts w:hAnsi="Arial Unicode MS"/>
        <w:caps w:val="0"/>
        <w:smallCaps w:val="0"/>
        <w:strike w:val="0"/>
        <w:dstrike w:val="0"/>
        <w:color w:val="000000"/>
        <w:spacing w:val="0"/>
        <w:w w:val="100"/>
        <w:kern w:val="0"/>
        <w:position w:val="-2"/>
        <w:vertAlign w:val="baseline"/>
      </w:rPr>
    </w:lvl>
    <w:lvl w:ilvl="5" w:tplc="2A403622">
      <w:start w:val="1"/>
      <w:numFmt w:val="bullet"/>
      <w:lvlText w:val="•"/>
      <w:lvlJc w:val="left"/>
      <w:pPr>
        <w:ind w:left="1080" w:hanging="180"/>
      </w:pPr>
      <w:rPr>
        <w:rFonts w:hAnsi="Arial Unicode MS"/>
        <w:caps w:val="0"/>
        <w:smallCaps w:val="0"/>
        <w:strike w:val="0"/>
        <w:dstrike w:val="0"/>
        <w:color w:val="000000"/>
        <w:spacing w:val="0"/>
        <w:w w:val="100"/>
        <w:kern w:val="0"/>
        <w:position w:val="-2"/>
        <w:vertAlign w:val="baseline"/>
      </w:rPr>
    </w:lvl>
    <w:lvl w:ilvl="6" w:tplc="1F8CC07E">
      <w:start w:val="1"/>
      <w:numFmt w:val="bullet"/>
      <w:lvlText w:val="•"/>
      <w:lvlJc w:val="left"/>
      <w:pPr>
        <w:ind w:left="1260" w:hanging="180"/>
      </w:pPr>
      <w:rPr>
        <w:rFonts w:hAnsi="Arial Unicode MS"/>
        <w:caps w:val="0"/>
        <w:smallCaps w:val="0"/>
        <w:strike w:val="0"/>
        <w:dstrike w:val="0"/>
        <w:color w:val="000000"/>
        <w:spacing w:val="0"/>
        <w:w w:val="100"/>
        <w:kern w:val="0"/>
        <w:position w:val="-2"/>
        <w:vertAlign w:val="baseline"/>
      </w:rPr>
    </w:lvl>
    <w:lvl w:ilvl="7" w:tplc="41E2D7CA">
      <w:start w:val="1"/>
      <w:numFmt w:val="bullet"/>
      <w:lvlText w:val="•"/>
      <w:lvlJc w:val="left"/>
      <w:pPr>
        <w:ind w:left="1440" w:hanging="180"/>
      </w:pPr>
      <w:rPr>
        <w:rFonts w:hAnsi="Arial Unicode MS"/>
        <w:caps w:val="0"/>
        <w:smallCaps w:val="0"/>
        <w:strike w:val="0"/>
        <w:dstrike w:val="0"/>
        <w:color w:val="000000"/>
        <w:spacing w:val="0"/>
        <w:w w:val="100"/>
        <w:kern w:val="0"/>
        <w:position w:val="-2"/>
        <w:vertAlign w:val="baseline"/>
      </w:rPr>
    </w:lvl>
    <w:lvl w:ilvl="8" w:tplc="E0769BDE">
      <w:start w:val="1"/>
      <w:numFmt w:val="bullet"/>
      <w:lvlText w:val="•"/>
      <w:lvlJc w:val="left"/>
      <w:pPr>
        <w:ind w:left="1620" w:hanging="180"/>
      </w:pPr>
      <w:rPr>
        <w:rFonts w:hAnsi="Arial Unicode MS"/>
        <w:caps w:val="0"/>
        <w:smallCaps w:val="0"/>
        <w:strike w:val="0"/>
        <w:dstrike w:val="0"/>
        <w:color w:val="000000"/>
        <w:spacing w:val="0"/>
        <w:w w:val="100"/>
        <w:kern w:val="0"/>
        <w:position w:val="-2"/>
        <w:vertAlign w:val="baseline"/>
      </w:rPr>
    </w:lvl>
  </w:abstractNum>
  <w:abstractNum w:abstractNumId="3" w15:restartNumberingAfterBreak="0">
    <w:nsid w:val="334513F5"/>
    <w:multiLevelType w:val="hybridMultilevel"/>
    <w:tmpl w:val="82602426"/>
    <w:lvl w:ilvl="0" w:tplc="41629760">
      <w:start w:val="1"/>
      <w:numFmt w:val="bullet"/>
      <w:lvlText w:val=""/>
      <w:lvlJc w:val="left"/>
      <w:pPr>
        <w:ind w:left="1287" w:hanging="360"/>
      </w:pPr>
      <w:rPr>
        <w:rFonts w:ascii="Symbol" w:hAnsi="Symbol" w:hint="default"/>
        <w:color w:val="50ABBF" w:themeColor="accent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3921C5A"/>
    <w:multiLevelType w:val="hybridMultilevel"/>
    <w:tmpl w:val="9B4E7D02"/>
    <w:lvl w:ilvl="0" w:tplc="3DF8B326">
      <w:start w:val="1"/>
      <w:numFmt w:val="bullet"/>
      <w:pStyle w:val="bullets"/>
      <w:lvlText w:val=""/>
      <w:lvlJc w:val="left"/>
      <w:pPr>
        <w:ind w:left="720" w:hanging="360"/>
      </w:pPr>
      <w:rPr>
        <w:rFonts w:ascii="Symbol" w:hAnsi="Symbol" w:hint="default"/>
        <w:color w:val="50ABBF" w:themeColor="accen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73DBE"/>
    <w:multiLevelType w:val="hybridMultilevel"/>
    <w:tmpl w:val="9752A18A"/>
    <w:lvl w:ilvl="0" w:tplc="41629760">
      <w:start w:val="1"/>
      <w:numFmt w:val="bullet"/>
      <w:lvlText w:val=""/>
      <w:lvlJc w:val="left"/>
      <w:pPr>
        <w:ind w:left="720" w:hanging="360"/>
      </w:pPr>
      <w:rPr>
        <w:rFonts w:ascii="Symbol" w:hAnsi="Symbol" w:hint="default"/>
        <w:color w:val="50ABBF"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82395E"/>
    <w:multiLevelType w:val="multilevel"/>
    <w:tmpl w:val="F80692F0"/>
    <w:lvl w:ilvl="0">
      <w:start w:val="1"/>
      <w:numFmt w:val="decimal"/>
      <w:lvlText w:val="%1"/>
      <w:lvlJc w:val="left"/>
      <w:pPr>
        <w:ind w:left="567" w:hanging="567"/>
      </w:pPr>
      <w:rPr>
        <w:rFonts w:hint="default"/>
      </w:rPr>
    </w:lvl>
    <w:lvl w:ilvl="1">
      <w:start w:val="1"/>
      <w:numFmt w:val="decimal"/>
      <w:lvlText w:val="2.%2"/>
      <w:lvlJc w:val="left"/>
      <w:pPr>
        <w:ind w:left="8942" w:hanging="720"/>
      </w:pPr>
      <w:rPr>
        <w:rFonts w:hint="default"/>
        <w:color w:val="50ABBF" w:themeColor="accent2"/>
      </w:rPr>
    </w:lvl>
    <w:lvl w:ilvl="2">
      <w:start w:val="1"/>
      <w:numFmt w:val="bullet"/>
      <w:lvlText w:val="-"/>
      <w:lvlJc w:val="left"/>
      <w:pPr>
        <w:ind w:left="720" w:hanging="360"/>
      </w:pPr>
      <w:rPr>
        <w:rFonts w:ascii="Courier New" w:hAnsi="Courier New" w:hint="default"/>
        <w:color w:val="50ABBF"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D59318D"/>
    <w:multiLevelType w:val="hybridMultilevel"/>
    <w:tmpl w:val="309C4E60"/>
    <w:lvl w:ilvl="0" w:tplc="41629760">
      <w:start w:val="1"/>
      <w:numFmt w:val="bullet"/>
      <w:lvlText w:val=""/>
      <w:lvlJc w:val="left"/>
      <w:pPr>
        <w:ind w:left="720" w:hanging="360"/>
      </w:pPr>
      <w:rPr>
        <w:rFonts w:ascii="Symbol" w:hAnsi="Symbol" w:hint="default"/>
        <w:color w:val="50ABBF"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85E6A"/>
    <w:multiLevelType w:val="multilevel"/>
    <w:tmpl w:val="36A81434"/>
    <w:lvl w:ilvl="0">
      <w:start w:val="1"/>
      <w:numFmt w:val="decimal"/>
      <w:pStyle w:val="Heading4"/>
      <w:lvlText w:val="%1"/>
      <w:lvlJc w:val="left"/>
      <w:pPr>
        <w:ind w:left="567" w:hanging="567"/>
      </w:pPr>
      <w:rPr>
        <w:rFonts w:hint="default"/>
      </w:rPr>
    </w:lvl>
    <w:lvl w:ilvl="1">
      <w:start w:val="1"/>
      <w:numFmt w:val="decimal"/>
      <w:pStyle w:val="recommendation"/>
      <w:isLgl/>
      <w:lvlText w:val="%1.%2"/>
      <w:lvlJc w:val="left"/>
      <w:pPr>
        <w:ind w:left="8942" w:hanging="720"/>
      </w:pPr>
      <w:rPr>
        <w:rFonts w:hint="default"/>
        <w:b w:val="0"/>
        <w:bCs w:val="0"/>
        <w:color w:val="50ABBF" w:themeColor="accent2"/>
      </w:rPr>
    </w:lvl>
    <w:lvl w:ilvl="2">
      <w:start w:val="1"/>
      <w:numFmt w:val="bullet"/>
      <w:lvlText w:val="-"/>
      <w:lvlJc w:val="left"/>
      <w:pPr>
        <w:ind w:left="720" w:hanging="360"/>
      </w:pPr>
      <w:rPr>
        <w:rFonts w:ascii="Courier New" w:hAnsi="Courier New" w:hint="default"/>
        <w:color w:val="50ABBF" w:themeColor="accent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B331991"/>
    <w:multiLevelType w:val="hybridMultilevel"/>
    <w:tmpl w:val="2B18B39A"/>
    <w:lvl w:ilvl="0" w:tplc="41629760">
      <w:start w:val="1"/>
      <w:numFmt w:val="bullet"/>
      <w:lvlText w:val=""/>
      <w:lvlJc w:val="left"/>
      <w:pPr>
        <w:ind w:left="1080" w:hanging="360"/>
      </w:pPr>
      <w:rPr>
        <w:rFonts w:ascii="Symbol" w:hAnsi="Symbol" w:hint="default"/>
        <w:color w:val="50ABBF"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99032287">
    <w:abstractNumId w:val="2"/>
  </w:num>
  <w:num w:numId="2" w16cid:durableId="2087339232">
    <w:abstractNumId w:val="4"/>
  </w:num>
  <w:num w:numId="3" w16cid:durableId="585768932">
    <w:abstractNumId w:val="4"/>
  </w:num>
  <w:num w:numId="4" w16cid:durableId="1081757627">
    <w:abstractNumId w:val="8"/>
  </w:num>
  <w:num w:numId="5" w16cid:durableId="1477212742">
    <w:abstractNumId w:val="6"/>
  </w:num>
  <w:num w:numId="6" w16cid:durableId="204951049">
    <w:abstractNumId w:val="7"/>
  </w:num>
  <w:num w:numId="7" w16cid:durableId="1539856963">
    <w:abstractNumId w:val="3"/>
  </w:num>
  <w:num w:numId="8" w16cid:durableId="708913556">
    <w:abstractNumId w:val="1"/>
  </w:num>
  <w:num w:numId="9" w16cid:durableId="495875525">
    <w:abstractNumId w:val="9"/>
  </w:num>
  <w:num w:numId="10" w16cid:durableId="1851213787">
    <w:abstractNumId w:val="5"/>
  </w:num>
  <w:num w:numId="11" w16cid:durableId="858010901">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wen Waite">
    <w15:presenceInfo w15:providerId="AD" w15:userId="S::owaite@rcoa.ac.uk::e51c8f34-4786-4c59-9380-7926b7f79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oNotTrackFormatting/>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70"/>
    <w:rsid w:val="00000E02"/>
    <w:rsid w:val="00001245"/>
    <w:rsid w:val="0000347A"/>
    <w:rsid w:val="0000506F"/>
    <w:rsid w:val="000109E9"/>
    <w:rsid w:val="000119CE"/>
    <w:rsid w:val="0001233D"/>
    <w:rsid w:val="000125A1"/>
    <w:rsid w:val="00013986"/>
    <w:rsid w:val="00015B55"/>
    <w:rsid w:val="0001754E"/>
    <w:rsid w:val="000218F0"/>
    <w:rsid w:val="00022EBB"/>
    <w:rsid w:val="00023731"/>
    <w:rsid w:val="00024783"/>
    <w:rsid w:val="00025F5A"/>
    <w:rsid w:val="00030AE6"/>
    <w:rsid w:val="00033059"/>
    <w:rsid w:val="00033942"/>
    <w:rsid w:val="00033A81"/>
    <w:rsid w:val="00034CAB"/>
    <w:rsid w:val="00035BB1"/>
    <w:rsid w:val="00042046"/>
    <w:rsid w:val="000434F1"/>
    <w:rsid w:val="000437D2"/>
    <w:rsid w:val="00043B13"/>
    <w:rsid w:val="00044482"/>
    <w:rsid w:val="000516A0"/>
    <w:rsid w:val="00054D56"/>
    <w:rsid w:val="00054EF7"/>
    <w:rsid w:val="00055F97"/>
    <w:rsid w:val="000601A7"/>
    <w:rsid w:val="00060E13"/>
    <w:rsid w:val="00061409"/>
    <w:rsid w:val="000668ED"/>
    <w:rsid w:val="00070E8E"/>
    <w:rsid w:val="00071060"/>
    <w:rsid w:val="000726FD"/>
    <w:rsid w:val="000762A3"/>
    <w:rsid w:val="00080604"/>
    <w:rsid w:val="00080651"/>
    <w:rsid w:val="0008090B"/>
    <w:rsid w:val="000814E3"/>
    <w:rsid w:val="00082B77"/>
    <w:rsid w:val="00084474"/>
    <w:rsid w:val="00090747"/>
    <w:rsid w:val="00092C15"/>
    <w:rsid w:val="000948D6"/>
    <w:rsid w:val="00095766"/>
    <w:rsid w:val="000A5F03"/>
    <w:rsid w:val="000B0918"/>
    <w:rsid w:val="000B1B1D"/>
    <w:rsid w:val="000B4B8C"/>
    <w:rsid w:val="000B5BE2"/>
    <w:rsid w:val="000C233E"/>
    <w:rsid w:val="000C30C0"/>
    <w:rsid w:val="000C457F"/>
    <w:rsid w:val="000D1769"/>
    <w:rsid w:val="000D23E0"/>
    <w:rsid w:val="000D2BF4"/>
    <w:rsid w:val="000D3BA8"/>
    <w:rsid w:val="000D5B19"/>
    <w:rsid w:val="000E2DC8"/>
    <w:rsid w:val="000E4536"/>
    <w:rsid w:val="000E484E"/>
    <w:rsid w:val="000E6B4D"/>
    <w:rsid w:val="000F05AC"/>
    <w:rsid w:val="000F25DB"/>
    <w:rsid w:val="000F382C"/>
    <w:rsid w:val="000F3E8B"/>
    <w:rsid w:val="000F4B35"/>
    <w:rsid w:val="000F5CBB"/>
    <w:rsid w:val="00100C85"/>
    <w:rsid w:val="001041B2"/>
    <w:rsid w:val="00104F56"/>
    <w:rsid w:val="00105428"/>
    <w:rsid w:val="0010753E"/>
    <w:rsid w:val="00111C72"/>
    <w:rsid w:val="001136CB"/>
    <w:rsid w:val="00114F2F"/>
    <w:rsid w:val="001207A8"/>
    <w:rsid w:val="0012178B"/>
    <w:rsid w:val="00124A15"/>
    <w:rsid w:val="00125D16"/>
    <w:rsid w:val="001337AE"/>
    <w:rsid w:val="00133FAD"/>
    <w:rsid w:val="00140A86"/>
    <w:rsid w:val="001433E5"/>
    <w:rsid w:val="00146533"/>
    <w:rsid w:val="0015154E"/>
    <w:rsid w:val="00153A25"/>
    <w:rsid w:val="00165A1F"/>
    <w:rsid w:val="00167740"/>
    <w:rsid w:val="00171566"/>
    <w:rsid w:val="00175F6B"/>
    <w:rsid w:val="001804EA"/>
    <w:rsid w:val="00180D3A"/>
    <w:rsid w:val="00181137"/>
    <w:rsid w:val="001822B3"/>
    <w:rsid w:val="00194942"/>
    <w:rsid w:val="00195181"/>
    <w:rsid w:val="0019518B"/>
    <w:rsid w:val="001A32C8"/>
    <w:rsid w:val="001A34D3"/>
    <w:rsid w:val="001A5A0D"/>
    <w:rsid w:val="001B3727"/>
    <w:rsid w:val="001C0D39"/>
    <w:rsid w:val="001C0F54"/>
    <w:rsid w:val="001C1656"/>
    <w:rsid w:val="001C3B64"/>
    <w:rsid w:val="001C7682"/>
    <w:rsid w:val="001D0591"/>
    <w:rsid w:val="001D58B4"/>
    <w:rsid w:val="001E0EE4"/>
    <w:rsid w:val="001E1E92"/>
    <w:rsid w:val="001E2525"/>
    <w:rsid w:val="001E4049"/>
    <w:rsid w:val="001E66A0"/>
    <w:rsid w:val="001E7982"/>
    <w:rsid w:val="001E7BEF"/>
    <w:rsid w:val="001F03DE"/>
    <w:rsid w:val="001F2E6F"/>
    <w:rsid w:val="001F33F2"/>
    <w:rsid w:val="001F40D5"/>
    <w:rsid w:val="001F5FB3"/>
    <w:rsid w:val="001F6AF9"/>
    <w:rsid w:val="00200836"/>
    <w:rsid w:val="00202469"/>
    <w:rsid w:val="00202AE6"/>
    <w:rsid w:val="00202F4E"/>
    <w:rsid w:val="00203541"/>
    <w:rsid w:val="00204EE8"/>
    <w:rsid w:val="00205835"/>
    <w:rsid w:val="0020598A"/>
    <w:rsid w:val="00206ADC"/>
    <w:rsid w:val="0021013A"/>
    <w:rsid w:val="002119E6"/>
    <w:rsid w:val="00214187"/>
    <w:rsid w:val="002201D3"/>
    <w:rsid w:val="0022027E"/>
    <w:rsid w:val="002216FD"/>
    <w:rsid w:val="00223CD2"/>
    <w:rsid w:val="00225536"/>
    <w:rsid w:val="0022571A"/>
    <w:rsid w:val="00225C12"/>
    <w:rsid w:val="0022614E"/>
    <w:rsid w:val="002268D2"/>
    <w:rsid w:val="00226EEB"/>
    <w:rsid w:val="002272C4"/>
    <w:rsid w:val="002308DA"/>
    <w:rsid w:val="00231F64"/>
    <w:rsid w:val="00232EF4"/>
    <w:rsid w:val="002375F0"/>
    <w:rsid w:val="002375FC"/>
    <w:rsid w:val="00237CBD"/>
    <w:rsid w:val="00240B8F"/>
    <w:rsid w:val="00242E6D"/>
    <w:rsid w:val="00246278"/>
    <w:rsid w:val="002462B6"/>
    <w:rsid w:val="002478F1"/>
    <w:rsid w:val="00252B9A"/>
    <w:rsid w:val="00252CAF"/>
    <w:rsid w:val="0025380C"/>
    <w:rsid w:val="0025563E"/>
    <w:rsid w:val="0025759F"/>
    <w:rsid w:val="00257ED9"/>
    <w:rsid w:val="0026161E"/>
    <w:rsid w:val="00263D17"/>
    <w:rsid w:val="002653FF"/>
    <w:rsid w:val="00267DF2"/>
    <w:rsid w:val="00274698"/>
    <w:rsid w:val="0027708A"/>
    <w:rsid w:val="00287AA4"/>
    <w:rsid w:val="00287F0B"/>
    <w:rsid w:val="00292FE4"/>
    <w:rsid w:val="0029483C"/>
    <w:rsid w:val="00294BD8"/>
    <w:rsid w:val="00295E48"/>
    <w:rsid w:val="002966AF"/>
    <w:rsid w:val="002979B6"/>
    <w:rsid w:val="002A12E3"/>
    <w:rsid w:val="002A37C5"/>
    <w:rsid w:val="002B0FF9"/>
    <w:rsid w:val="002B1F15"/>
    <w:rsid w:val="002B24DB"/>
    <w:rsid w:val="002B3136"/>
    <w:rsid w:val="002B36B4"/>
    <w:rsid w:val="002C2DAE"/>
    <w:rsid w:val="002C3470"/>
    <w:rsid w:val="002D5B87"/>
    <w:rsid w:val="002D6A13"/>
    <w:rsid w:val="002D7450"/>
    <w:rsid w:val="002D7C21"/>
    <w:rsid w:val="002E075F"/>
    <w:rsid w:val="002E0CC8"/>
    <w:rsid w:val="002E0E4A"/>
    <w:rsid w:val="002E195A"/>
    <w:rsid w:val="002E35B3"/>
    <w:rsid w:val="002E3DA1"/>
    <w:rsid w:val="002E4BA8"/>
    <w:rsid w:val="002F232F"/>
    <w:rsid w:val="002F327F"/>
    <w:rsid w:val="002F4F79"/>
    <w:rsid w:val="003077E2"/>
    <w:rsid w:val="003077E9"/>
    <w:rsid w:val="00311662"/>
    <w:rsid w:val="00313204"/>
    <w:rsid w:val="003146CC"/>
    <w:rsid w:val="003148EE"/>
    <w:rsid w:val="00320FA3"/>
    <w:rsid w:val="003223D3"/>
    <w:rsid w:val="00322A54"/>
    <w:rsid w:val="00323651"/>
    <w:rsid w:val="00323998"/>
    <w:rsid w:val="00324FE1"/>
    <w:rsid w:val="003269DD"/>
    <w:rsid w:val="00333915"/>
    <w:rsid w:val="003350C7"/>
    <w:rsid w:val="00335C54"/>
    <w:rsid w:val="003405BF"/>
    <w:rsid w:val="00342BC7"/>
    <w:rsid w:val="00345D88"/>
    <w:rsid w:val="003468E0"/>
    <w:rsid w:val="0035010F"/>
    <w:rsid w:val="003507A3"/>
    <w:rsid w:val="003542B5"/>
    <w:rsid w:val="0036069A"/>
    <w:rsid w:val="00361D26"/>
    <w:rsid w:val="00363FE3"/>
    <w:rsid w:val="0037057A"/>
    <w:rsid w:val="0037126C"/>
    <w:rsid w:val="00371E62"/>
    <w:rsid w:val="00373168"/>
    <w:rsid w:val="0037538D"/>
    <w:rsid w:val="00377F6D"/>
    <w:rsid w:val="00387630"/>
    <w:rsid w:val="003918DE"/>
    <w:rsid w:val="00396784"/>
    <w:rsid w:val="00396D66"/>
    <w:rsid w:val="00397E28"/>
    <w:rsid w:val="003A1E74"/>
    <w:rsid w:val="003A554A"/>
    <w:rsid w:val="003A5F0D"/>
    <w:rsid w:val="003B05F2"/>
    <w:rsid w:val="003B06AD"/>
    <w:rsid w:val="003B2E0A"/>
    <w:rsid w:val="003B3969"/>
    <w:rsid w:val="003B4C6A"/>
    <w:rsid w:val="003B7C88"/>
    <w:rsid w:val="003C5AD0"/>
    <w:rsid w:val="003C5C63"/>
    <w:rsid w:val="003C618D"/>
    <w:rsid w:val="003D0F25"/>
    <w:rsid w:val="003D42DA"/>
    <w:rsid w:val="003D6802"/>
    <w:rsid w:val="003D6CB8"/>
    <w:rsid w:val="003E0B66"/>
    <w:rsid w:val="003E1BDC"/>
    <w:rsid w:val="003E46A0"/>
    <w:rsid w:val="003E654F"/>
    <w:rsid w:val="003F0E8A"/>
    <w:rsid w:val="003F147F"/>
    <w:rsid w:val="003F3364"/>
    <w:rsid w:val="003F7C5D"/>
    <w:rsid w:val="0040352A"/>
    <w:rsid w:val="00406B71"/>
    <w:rsid w:val="004076CA"/>
    <w:rsid w:val="004101FD"/>
    <w:rsid w:val="00410608"/>
    <w:rsid w:val="004127BC"/>
    <w:rsid w:val="00414EE3"/>
    <w:rsid w:val="004167B3"/>
    <w:rsid w:val="00421E95"/>
    <w:rsid w:val="00425E1D"/>
    <w:rsid w:val="00427C70"/>
    <w:rsid w:val="004319F8"/>
    <w:rsid w:val="00432518"/>
    <w:rsid w:val="00440EFD"/>
    <w:rsid w:val="00443EEF"/>
    <w:rsid w:val="00452219"/>
    <w:rsid w:val="00453084"/>
    <w:rsid w:val="00456C18"/>
    <w:rsid w:val="004620C6"/>
    <w:rsid w:val="00462DAF"/>
    <w:rsid w:val="004648F4"/>
    <w:rsid w:val="00467850"/>
    <w:rsid w:val="004729CB"/>
    <w:rsid w:val="00472CE1"/>
    <w:rsid w:val="00475156"/>
    <w:rsid w:val="00475A58"/>
    <w:rsid w:val="0048348B"/>
    <w:rsid w:val="00486DFA"/>
    <w:rsid w:val="0048790A"/>
    <w:rsid w:val="004925E5"/>
    <w:rsid w:val="004A0BA0"/>
    <w:rsid w:val="004A219D"/>
    <w:rsid w:val="004A3011"/>
    <w:rsid w:val="004B0773"/>
    <w:rsid w:val="004B1EEE"/>
    <w:rsid w:val="004B3C3E"/>
    <w:rsid w:val="004B634E"/>
    <w:rsid w:val="004C03EF"/>
    <w:rsid w:val="004C40C9"/>
    <w:rsid w:val="004D05C1"/>
    <w:rsid w:val="004D2F39"/>
    <w:rsid w:val="004E09DB"/>
    <w:rsid w:val="004E3977"/>
    <w:rsid w:val="004E3FBE"/>
    <w:rsid w:val="004E75DE"/>
    <w:rsid w:val="004E7625"/>
    <w:rsid w:val="004F5F65"/>
    <w:rsid w:val="004F6475"/>
    <w:rsid w:val="005038A5"/>
    <w:rsid w:val="00504A0E"/>
    <w:rsid w:val="0050558C"/>
    <w:rsid w:val="005071A7"/>
    <w:rsid w:val="0050793A"/>
    <w:rsid w:val="00513F79"/>
    <w:rsid w:val="0051424B"/>
    <w:rsid w:val="0051430D"/>
    <w:rsid w:val="005145C8"/>
    <w:rsid w:val="00515307"/>
    <w:rsid w:val="0052313A"/>
    <w:rsid w:val="00525596"/>
    <w:rsid w:val="00527E55"/>
    <w:rsid w:val="00534EE2"/>
    <w:rsid w:val="005357EB"/>
    <w:rsid w:val="0054047A"/>
    <w:rsid w:val="0054256B"/>
    <w:rsid w:val="00547751"/>
    <w:rsid w:val="00554EE9"/>
    <w:rsid w:val="0055754E"/>
    <w:rsid w:val="00557806"/>
    <w:rsid w:val="00561363"/>
    <w:rsid w:val="005616DF"/>
    <w:rsid w:val="00561789"/>
    <w:rsid w:val="0056304B"/>
    <w:rsid w:val="00566925"/>
    <w:rsid w:val="0056752B"/>
    <w:rsid w:val="0057408A"/>
    <w:rsid w:val="00590479"/>
    <w:rsid w:val="005956A8"/>
    <w:rsid w:val="005A2E42"/>
    <w:rsid w:val="005A306F"/>
    <w:rsid w:val="005A596C"/>
    <w:rsid w:val="005A5B6B"/>
    <w:rsid w:val="005B6919"/>
    <w:rsid w:val="005B74F8"/>
    <w:rsid w:val="005C6789"/>
    <w:rsid w:val="005D69ED"/>
    <w:rsid w:val="005E155B"/>
    <w:rsid w:val="005E2E1A"/>
    <w:rsid w:val="005E41B1"/>
    <w:rsid w:val="005E54AC"/>
    <w:rsid w:val="005E6FBF"/>
    <w:rsid w:val="005F36F2"/>
    <w:rsid w:val="005F6001"/>
    <w:rsid w:val="00600373"/>
    <w:rsid w:val="00600725"/>
    <w:rsid w:val="00600D47"/>
    <w:rsid w:val="0060509C"/>
    <w:rsid w:val="006151E6"/>
    <w:rsid w:val="00615E23"/>
    <w:rsid w:val="00621603"/>
    <w:rsid w:val="00622292"/>
    <w:rsid w:val="00622335"/>
    <w:rsid w:val="00622E9A"/>
    <w:rsid w:val="00623295"/>
    <w:rsid w:val="00625273"/>
    <w:rsid w:val="006277D4"/>
    <w:rsid w:val="006340D1"/>
    <w:rsid w:val="00636ABC"/>
    <w:rsid w:val="006378B2"/>
    <w:rsid w:val="0064255F"/>
    <w:rsid w:val="00642B69"/>
    <w:rsid w:val="00642F2A"/>
    <w:rsid w:val="006435FC"/>
    <w:rsid w:val="00643B22"/>
    <w:rsid w:val="006453B1"/>
    <w:rsid w:val="00646DE7"/>
    <w:rsid w:val="00647E77"/>
    <w:rsid w:val="00650CA3"/>
    <w:rsid w:val="00652FCC"/>
    <w:rsid w:val="00660FC5"/>
    <w:rsid w:val="0066177F"/>
    <w:rsid w:val="0066503E"/>
    <w:rsid w:val="00665997"/>
    <w:rsid w:val="00672AFF"/>
    <w:rsid w:val="006761ED"/>
    <w:rsid w:val="00677C1C"/>
    <w:rsid w:val="00682DB9"/>
    <w:rsid w:val="006839D2"/>
    <w:rsid w:val="006846F9"/>
    <w:rsid w:val="00684B35"/>
    <w:rsid w:val="006905FB"/>
    <w:rsid w:val="00691634"/>
    <w:rsid w:val="006A1E2D"/>
    <w:rsid w:val="006A208D"/>
    <w:rsid w:val="006A3833"/>
    <w:rsid w:val="006A5974"/>
    <w:rsid w:val="006A5AFB"/>
    <w:rsid w:val="006A6A12"/>
    <w:rsid w:val="006A7EE1"/>
    <w:rsid w:val="006B0A22"/>
    <w:rsid w:val="006B200B"/>
    <w:rsid w:val="006B30C2"/>
    <w:rsid w:val="006B556B"/>
    <w:rsid w:val="006B6609"/>
    <w:rsid w:val="006C2ADD"/>
    <w:rsid w:val="006C4AC0"/>
    <w:rsid w:val="006C6DB1"/>
    <w:rsid w:val="006D254E"/>
    <w:rsid w:val="006D2C07"/>
    <w:rsid w:val="006D34B5"/>
    <w:rsid w:val="006D6516"/>
    <w:rsid w:val="006D7CBB"/>
    <w:rsid w:val="006E0FD3"/>
    <w:rsid w:val="006E2BDD"/>
    <w:rsid w:val="006F139D"/>
    <w:rsid w:val="006F2DCD"/>
    <w:rsid w:val="006F3368"/>
    <w:rsid w:val="006F4A83"/>
    <w:rsid w:val="006F4E5A"/>
    <w:rsid w:val="006F56AD"/>
    <w:rsid w:val="006F70B4"/>
    <w:rsid w:val="0070239D"/>
    <w:rsid w:val="00716DCA"/>
    <w:rsid w:val="007264C3"/>
    <w:rsid w:val="00730865"/>
    <w:rsid w:val="0073423B"/>
    <w:rsid w:val="007361B6"/>
    <w:rsid w:val="00740776"/>
    <w:rsid w:val="007408C5"/>
    <w:rsid w:val="00741274"/>
    <w:rsid w:val="00742966"/>
    <w:rsid w:val="007438D2"/>
    <w:rsid w:val="007441E9"/>
    <w:rsid w:val="007524BD"/>
    <w:rsid w:val="007552A3"/>
    <w:rsid w:val="007556BC"/>
    <w:rsid w:val="007632ED"/>
    <w:rsid w:val="007636FD"/>
    <w:rsid w:val="007651C4"/>
    <w:rsid w:val="007654FB"/>
    <w:rsid w:val="00766F4A"/>
    <w:rsid w:val="007706AE"/>
    <w:rsid w:val="00770B4C"/>
    <w:rsid w:val="00775397"/>
    <w:rsid w:val="007773E9"/>
    <w:rsid w:val="007776CA"/>
    <w:rsid w:val="0078314A"/>
    <w:rsid w:val="007833C9"/>
    <w:rsid w:val="00785646"/>
    <w:rsid w:val="007A0C61"/>
    <w:rsid w:val="007A115B"/>
    <w:rsid w:val="007A2731"/>
    <w:rsid w:val="007A2761"/>
    <w:rsid w:val="007A388D"/>
    <w:rsid w:val="007A6FCE"/>
    <w:rsid w:val="007B0FF9"/>
    <w:rsid w:val="007B236C"/>
    <w:rsid w:val="007B3A0E"/>
    <w:rsid w:val="007B45A9"/>
    <w:rsid w:val="007B719F"/>
    <w:rsid w:val="007C2382"/>
    <w:rsid w:val="007C50E6"/>
    <w:rsid w:val="007C6F47"/>
    <w:rsid w:val="007D21D4"/>
    <w:rsid w:val="007D2AC2"/>
    <w:rsid w:val="007D3664"/>
    <w:rsid w:val="007D7037"/>
    <w:rsid w:val="007D77CC"/>
    <w:rsid w:val="007E0EE3"/>
    <w:rsid w:val="007E6B5C"/>
    <w:rsid w:val="007F1138"/>
    <w:rsid w:val="007F2333"/>
    <w:rsid w:val="007F4CEF"/>
    <w:rsid w:val="007F6D13"/>
    <w:rsid w:val="007F76AA"/>
    <w:rsid w:val="00800BF9"/>
    <w:rsid w:val="008052B2"/>
    <w:rsid w:val="008071CA"/>
    <w:rsid w:val="0081519C"/>
    <w:rsid w:val="00815735"/>
    <w:rsid w:val="00816680"/>
    <w:rsid w:val="00823535"/>
    <w:rsid w:val="00833143"/>
    <w:rsid w:val="00834503"/>
    <w:rsid w:val="008346A6"/>
    <w:rsid w:val="00835A0C"/>
    <w:rsid w:val="0083689B"/>
    <w:rsid w:val="008421AB"/>
    <w:rsid w:val="00844D13"/>
    <w:rsid w:val="00850018"/>
    <w:rsid w:val="008561A2"/>
    <w:rsid w:val="00857112"/>
    <w:rsid w:val="00857ADE"/>
    <w:rsid w:val="00857F40"/>
    <w:rsid w:val="00863341"/>
    <w:rsid w:val="00863C8D"/>
    <w:rsid w:val="00874E4B"/>
    <w:rsid w:val="00882D51"/>
    <w:rsid w:val="00883F6C"/>
    <w:rsid w:val="0088690E"/>
    <w:rsid w:val="00893544"/>
    <w:rsid w:val="0089480F"/>
    <w:rsid w:val="008A227D"/>
    <w:rsid w:val="008A3DC2"/>
    <w:rsid w:val="008A7E9A"/>
    <w:rsid w:val="008B2D72"/>
    <w:rsid w:val="008C264D"/>
    <w:rsid w:val="008C5ECD"/>
    <w:rsid w:val="008C7E1F"/>
    <w:rsid w:val="008D0C02"/>
    <w:rsid w:val="008D329E"/>
    <w:rsid w:val="008E0E29"/>
    <w:rsid w:val="008E2450"/>
    <w:rsid w:val="008E4C5B"/>
    <w:rsid w:val="008E4CF6"/>
    <w:rsid w:val="008E7791"/>
    <w:rsid w:val="008E7EFA"/>
    <w:rsid w:val="008F3F7D"/>
    <w:rsid w:val="008F7BD5"/>
    <w:rsid w:val="00902C20"/>
    <w:rsid w:val="009041C6"/>
    <w:rsid w:val="009075EA"/>
    <w:rsid w:val="009143FF"/>
    <w:rsid w:val="00916F3E"/>
    <w:rsid w:val="00917C85"/>
    <w:rsid w:val="00917CEE"/>
    <w:rsid w:val="0092141D"/>
    <w:rsid w:val="00926933"/>
    <w:rsid w:val="00926F3E"/>
    <w:rsid w:val="00932422"/>
    <w:rsid w:val="009358BF"/>
    <w:rsid w:val="009378E3"/>
    <w:rsid w:val="0094098D"/>
    <w:rsid w:val="00944784"/>
    <w:rsid w:val="00945B17"/>
    <w:rsid w:val="00946ECA"/>
    <w:rsid w:val="00951258"/>
    <w:rsid w:val="00951FDA"/>
    <w:rsid w:val="009522F7"/>
    <w:rsid w:val="009556F2"/>
    <w:rsid w:val="0095593C"/>
    <w:rsid w:val="009576E0"/>
    <w:rsid w:val="00967EC8"/>
    <w:rsid w:val="00971B81"/>
    <w:rsid w:val="00971BD0"/>
    <w:rsid w:val="00972BFB"/>
    <w:rsid w:val="00976FBB"/>
    <w:rsid w:val="00977F78"/>
    <w:rsid w:val="00980FB1"/>
    <w:rsid w:val="0098280A"/>
    <w:rsid w:val="009A3436"/>
    <w:rsid w:val="009A52AD"/>
    <w:rsid w:val="009A5644"/>
    <w:rsid w:val="009A56BF"/>
    <w:rsid w:val="009A5F23"/>
    <w:rsid w:val="009A638F"/>
    <w:rsid w:val="009A67F4"/>
    <w:rsid w:val="009A6ED1"/>
    <w:rsid w:val="009B024D"/>
    <w:rsid w:val="009B64E3"/>
    <w:rsid w:val="009B7590"/>
    <w:rsid w:val="009C1F40"/>
    <w:rsid w:val="009D19BA"/>
    <w:rsid w:val="009D1CC5"/>
    <w:rsid w:val="009D44F3"/>
    <w:rsid w:val="009E0FF0"/>
    <w:rsid w:val="009E2F94"/>
    <w:rsid w:val="009E5E76"/>
    <w:rsid w:val="009F03E9"/>
    <w:rsid w:val="009F1D7B"/>
    <w:rsid w:val="009F27AF"/>
    <w:rsid w:val="009F57E9"/>
    <w:rsid w:val="009F6DC9"/>
    <w:rsid w:val="009F7CB8"/>
    <w:rsid w:val="00A05CF7"/>
    <w:rsid w:val="00A12288"/>
    <w:rsid w:val="00A12EDD"/>
    <w:rsid w:val="00A1532F"/>
    <w:rsid w:val="00A15B24"/>
    <w:rsid w:val="00A15F8C"/>
    <w:rsid w:val="00A22EBB"/>
    <w:rsid w:val="00A22F6D"/>
    <w:rsid w:val="00A23868"/>
    <w:rsid w:val="00A238BC"/>
    <w:rsid w:val="00A2796F"/>
    <w:rsid w:val="00A32793"/>
    <w:rsid w:val="00A33C85"/>
    <w:rsid w:val="00A3424C"/>
    <w:rsid w:val="00A36085"/>
    <w:rsid w:val="00A36A76"/>
    <w:rsid w:val="00A36C0D"/>
    <w:rsid w:val="00A3786F"/>
    <w:rsid w:val="00A40909"/>
    <w:rsid w:val="00A420D9"/>
    <w:rsid w:val="00A4445A"/>
    <w:rsid w:val="00A500A4"/>
    <w:rsid w:val="00A52073"/>
    <w:rsid w:val="00A54000"/>
    <w:rsid w:val="00A54C2E"/>
    <w:rsid w:val="00A568B8"/>
    <w:rsid w:val="00A569E9"/>
    <w:rsid w:val="00A56BA4"/>
    <w:rsid w:val="00A70864"/>
    <w:rsid w:val="00A75039"/>
    <w:rsid w:val="00A75181"/>
    <w:rsid w:val="00A77A9A"/>
    <w:rsid w:val="00A80839"/>
    <w:rsid w:val="00A819A4"/>
    <w:rsid w:val="00A82C7C"/>
    <w:rsid w:val="00A82DA8"/>
    <w:rsid w:val="00A832EC"/>
    <w:rsid w:val="00A838DF"/>
    <w:rsid w:val="00A86907"/>
    <w:rsid w:val="00A87A16"/>
    <w:rsid w:val="00A914EE"/>
    <w:rsid w:val="00A9244A"/>
    <w:rsid w:val="00A96DFF"/>
    <w:rsid w:val="00A97C4D"/>
    <w:rsid w:val="00AA1938"/>
    <w:rsid w:val="00AA4195"/>
    <w:rsid w:val="00AA5620"/>
    <w:rsid w:val="00AA71B2"/>
    <w:rsid w:val="00AB09BC"/>
    <w:rsid w:val="00AB196F"/>
    <w:rsid w:val="00AB2BF8"/>
    <w:rsid w:val="00AB2C29"/>
    <w:rsid w:val="00AB6DBD"/>
    <w:rsid w:val="00AC0020"/>
    <w:rsid w:val="00AC0CAD"/>
    <w:rsid w:val="00AC1B26"/>
    <w:rsid w:val="00AC2509"/>
    <w:rsid w:val="00AC27F8"/>
    <w:rsid w:val="00AC382B"/>
    <w:rsid w:val="00AC3FF3"/>
    <w:rsid w:val="00AC4B0C"/>
    <w:rsid w:val="00AD1056"/>
    <w:rsid w:val="00AD18D0"/>
    <w:rsid w:val="00AD37D4"/>
    <w:rsid w:val="00AD52A3"/>
    <w:rsid w:val="00AD685A"/>
    <w:rsid w:val="00AE226A"/>
    <w:rsid w:val="00AE3A3F"/>
    <w:rsid w:val="00AE548A"/>
    <w:rsid w:val="00AF25D6"/>
    <w:rsid w:val="00AF4882"/>
    <w:rsid w:val="00AF492B"/>
    <w:rsid w:val="00AF4F5F"/>
    <w:rsid w:val="00B005A4"/>
    <w:rsid w:val="00B02479"/>
    <w:rsid w:val="00B03B37"/>
    <w:rsid w:val="00B04ED9"/>
    <w:rsid w:val="00B117A5"/>
    <w:rsid w:val="00B13F82"/>
    <w:rsid w:val="00B20778"/>
    <w:rsid w:val="00B22E9A"/>
    <w:rsid w:val="00B23453"/>
    <w:rsid w:val="00B24AB2"/>
    <w:rsid w:val="00B2504C"/>
    <w:rsid w:val="00B25730"/>
    <w:rsid w:val="00B259E7"/>
    <w:rsid w:val="00B27B6F"/>
    <w:rsid w:val="00B30BBB"/>
    <w:rsid w:val="00B31679"/>
    <w:rsid w:val="00B31840"/>
    <w:rsid w:val="00B41390"/>
    <w:rsid w:val="00B4380E"/>
    <w:rsid w:val="00B45140"/>
    <w:rsid w:val="00B46321"/>
    <w:rsid w:val="00B4747A"/>
    <w:rsid w:val="00B51D4D"/>
    <w:rsid w:val="00B52676"/>
    <w:rsid w:val="00B52F78"/>
    <w:rsid w:val="00B53F8C"/>
    <w:rsid w:val="00B547DE"/>
    <w:rsid w:val="00B54CB5"/>
    <w:rsid w:val="00B60802"/>
    <w:rsid w:val="00B62DBC"/>
    <w:rsid w:val="00B66026"/>
    <w:rsid w:val="00B7240F"/>
    <w:rsid w:val="00B72825"/>
    <w:rsid w:val="00B75A2B"/>
    <w:rsid w:val="00B80A24"/>
    <w:rsid w:val="00B8118A"/>
    <w:rsid w:val="00B81485"/>
    <w:rsid w:val="00B815A7"/>
    <w:rsid w:val="00B82074"/>
    <w:rsid w:val="00B839F4"/>
    <w:rsid w:val="00B845AC"/>
    <w:rsid w:val="00B951B1"/>
    <w:rsid w:val="00B954D7"/>
    <w:rsid w:val="00B96028"/>
    <w:rsid w:val="00BA1A59"/>
    <w:rsid w:val="00BA2E25"/>
    <w:rsid w:val="00BA36B1"/>
    <w:rsid w:val="00BA585E"/>
    <w:rsid w:val="00BA6A00"/>
    <w:rsid w:val="00BB148B"/>
    <w:rsid w:val="00BB523B"/>
    <w:rsid w:val="00BC39B8"/>
    <w:rsid w:val="00BC3EF6"/>
    <w:rsid w:val="00BD0384"/>
    <w:rsid w:val="00BD13E0"/>
    <w:rsid w:val="00BD3FF8"/>
    <w:rsid w:val="00BE149A"/>
    <w:rsid w:val="00BE7371"/>
    <w:rsid w:val="00BE7DF3"/>
    <w:rsid w:val="00BF0744"/>
    <w:rsid w:val="00BF4181"/>
    <w:rsid w:val="00C006C9"/>
    <w:rsid w:val="00C02A95"/>
    <w:rsid w:val="00C02E6A"/>
    <w:rsid w:val="00C02FAA"/>
    <w:rsid w:val="00C03F50"/>
    <w:rsid w:val="00C0474E"/>
    <w:rsid w:val="00C0516A"/>
    <w:rsid w:val="00C06780"/>
    <w:rsid w:val="00C12CC0"/>
    <w:rsid w:val="00C14340"/>
    <w:rsid w:val="00C15934"/>
    <w:rsid w:val="00C2049E"/>
    <w:rsid w:val="00C2070A"/>
    <w:rsid w:val="00C258D5"/>
    <w:rsid w:val="00C25968"/>
    <w:rsid w:val="00C31396"/>
    <w:rsid w:val="00C31EA4"/>
    <w:rsid w:val="00C32194"/>
    <w:rsid w:val="00C417A6"/>
    <w:rsid w:val="00C4449C"/>
    <w:rsid w:val="00C44D7A"/>
    <w:rsid w:val="00C47638"/>
    <w:rsid w:val="00C510D7"/>
    <w:rsid w:val="00C519EC"/>
    <w:rsid w:val="00C525F9"/>
    <w:rsid w:val="00C530EB"/>
    <w:rsid w:val="00C542DA"/>
    <w:rsid w:val="00C60422"/>
    <w:rsid w:val="00C6178A"/>
    <w:rsid w:val="00C65206"/>
    <w:rsid w:val="00C673D1"/>
    <w:rsid w:val="00C676D0"/>
    <w:rsid w:val="00C719A7"/>
    <w:rsid w:val="00C72A49"/>
    <w:rsid w:val="00C76344"/>
    <w:rsid w:val="00C814C3"/>
    <w:rsid w:val="00C87D5A"/>
    <w:rsid w:val="00C90EAC"/>
    <w:rsid w:val="00C92937"/>
    <w:rsid w:val="00C9359E"/>
    <w:rsid w:val="00C94F81"/>
    <w:rsid w:val="00C9780F"/>
    <w:rsid w:val="00CA1EF7"/>
    <w:rsid w:val="00CA298C"/>
    <w:rsid w:val="00CA2F30"/>
    <w:rsid w:val="00CA6BA0"/>
    <w:rsid w:val="00CB131D"/>
    <w:rsid w:val="00CB175E"/>
    <w:rsid w:val="00CB180A"/>
    <w:rsid w:val="00CB49B6"/>
    <w:rsid w:val="00CB5EA6"/>
    <w:rsid w:val="00CB7274"/>
    <w:rsid w:val="00CB7EE8"/>
    <w:rsid w:val="00CC0AA1"/>
    <w:rsid w:val="00CC6040"/>
    <w:rsid w:val="00CC7045"/>
    <w:rsid w:val="00CC7198"/>
    <w:rsid w:val="00CC7E5A"/>
    <w:rsid w:val="00CD019C"/>
    <w:rsid w:val="00CD07AF"/>
    <w:rsid w:val="00CE24A7"/>
    <w:rsid w:val="00CE2D0D"/>
    <w:rsid w:val="00CE5183"/>
    <w:rsid w:val="00CF1B14"/>
    <w:rsid w:val="00CF45F4"/>
    <w:rsid w:val="00CF77FB"/>
    <w:rsid w:val="00D026E4"/>
    <w:rsid w:val="00D03852"/>
    <w:rsid w:val="00D12E6D"/>
    <w:rsid w:val="00D15899"/>
    <w:rsid w:val="00D20E80"/>
    <w:rsid w:val="00D261D7"/>
    <w:rsid w:val="00D30D5C"/>
    <w:rsid w:val="00D31A09"/>
    <w:rsid w:val="00D32DE8"/>
    <w:rsid w:val="00D3516E"/>
    <w:rsid w:val="00D37140"/>
    <w:rsid w:val="00D41949"/>
    <w:rsid w:val="00D41E38"/>
    <w:rsid w:val="00D4514C"/>
    <w:rsid w:val="00D45592"/>
    <w:rsid w:val="00D462B5"/>
    <w:rsid w:val="00D5044E"/>
    <w:rsid w:val="00D51587"/>
    <w:rsid w:val="00D5236A"/>
    <w:rsid w:val="00D52AF4"/>
    <w:rsid w:val="00D538CC"/>
    <w:rsid w:val="00D53AA6"/>
    <w:rsid w:val="00D53F42"/>
    <w:rsid w:val="00D5464D"/>
    <w:rsid w:val="00D5617E"/>
    <w:rsid w:val="00D64383"/>
    <w:rsid w:val="00D70D88"/>
    <w:rsid w:val="00D73CA8"/>
    <w:rsid w:val="00D80EC4"/>
    <w:rsid w:val="00D847CC"/>
    <w:rsid w:val="00D848F6"/>
    <w:rsid w:val="00D907DD"/>
    <w:rsid w:val="00D91CCC"/>
    <w:rsid w:val="00DA0770"/>
    <w:rsid w:val="00DA0BFC"/>
    <w:rsid w:val="00DA4540"/>
    <w:rsid w:val="00DA6E40"/>
    <w:rsid w:val="00DB0DE8"/>
    <w:rsid w:val="00DB3AED"/>
    <w:rsid w:val="00DB5292"/>
    <w:rsid w:val="00DB5F52"/>
    <w:rsid w:val="00DB7247"/>
    <w:rsid w:val="00DB7EFA"/>
    <w:rsid w:val="00DC0833"/>
    <w:rsid w:val="00DC3965"/>
    <w:rsid w:val="00DC4E5A"/>
    <w:rsid w:val="00DC7FED"/>
    <w:rsid w:val="00DD0AB4"/>
    <w:rsid w:val="00DD7E94"/>
    <w:rsid w:val="00DE08E8"/>
    <w:rsid w:val="00DE424F"/>
    <w:rsid w:val="00DE47B0"/>
    <w:rsid w:val="00DF0121"/>
    <w:rsid w:val="00DF0FD8"/>
    <w:rsid w:val="00DF1735"/>
    <w:rsid w:val="00DF64E7"/>
    <w:rsid w:val="00E000FA"/>
    <w:rsid w:val="00E03D07"/>
    <w:rsid w:val="00E05076"/>
    <w:rsid w:val="00E05BD5"/>
    <w:rsid w:val="00E0742C"/>
    <w:rsid w:val="00E226BB"/>
    <w:rsid w:val="00E2429C"/>
    <w:rsid w:val="00E25F5C"/>
    <w:rsid w:val="00E26B2D"/>
    <w:rsid w:val="00E26F13"/>
    <w:rsid w:val="00E27C38"/>
    <w:rsid w:val="00E31AD9"/>
    <w:rsid w:val="00E31EBF"/>
    <w:rsid w:val="00E35B55"/>
    <w:rsid w:val="00E4091C"/>
    <w:rsid w:val="00E419F3"/>
    <w:rsid w:val="00E43E50"/>
    <w:rsid w:val="00E4563F"/>
    <w:rsid w:val="00E5129F"/>
    <w:rsid w:val="00E54C4F"/>
    <w:rsid w:val="00E55EF2"/>
    <w:rsid w:val="00E602AD"/>
    <w:rsid w:val="00E6457D"/>
    <w:rsid w:val="00E66739"/>
    <w:rsid w:val="00E67B66"/>
    <w:rsid w:val="00E72791"/>
    <w:rsid w:val="00E73583"/>
    <w:rsid w:val="00E73914"/>
    <w:rsid w:val="00E73A7C"/>
    <w:rsid w:val="00E7457A"/>
    <w:rsid w:val="00E77A03"/>
    <w:rsid w:val="00E81F60"/>
    <w:rsid w:val="00E8408C"/>
    <w:rsid w:val="00E8591E"/>
    <w:rsid w:val="00E87D3C"/>
    <w:rsid w:val="00E93328"/>
    <w:rsid w:val="00E94B0E"/>
    <w:rsid w:val="00E966AF"/>
    <w:rsid w:val="00EA3427"/>
    <w:rsid w:val="00EA4B6F"/>
    <w:rsid w:val="00EA6641"/>
    <w:rsid w:val="00EB08D5"/>
    <w:rsid w:val="00EB30C6"/>
    <w:rsid w:val="00EB5119"/>
    <w:rsid w:val="00EB5D59"/>
    <w:rsid w:val="00EC0175"/>
    <w:rsid w:val="00EC193C"/>
    <w:rsid w:val="00EC3CA6"/>
    <w:rsid w:val="00EC6D8A"/>
    <w:rsid w:val="00ED01F8"/>
    <w:rsid w:val="00ED5A84"/>
    <w:rsid w:val="00ED6527"/>
    <w:rsid w:val="00EE2BB5"/>
    <w:rsid w:val="00EE3B59"/>
    <w:rsid w:val="00EE49AA"/>
    <w:rsid w:val="00EE5218"/>
    <w:rsid w:val="00EF0AB6"/>
    <w:rsid w:val="00EF0CFD"/>
    <w:rsid w:val="00EF2FD3"/>
    <w:rsid w:val="00EF5C4A"/>
    <w:rsid w:val="00F01C2D"/>
    <w:rsid w:val="00F026AF"/>
    <w:rsid w:val="00F033A5"/>
    <w:rsid w:val="00F05473"/>
    <w:rsid w:val="00F05C0F"/>
    <w:rsid w:val="00F07AC8"/>
    <w:rsid w:val="00F11D9C"/>
    <w:rsid w:val="00F165EF"/>
    <w:rsid w:val="00F207EA"/>
    <w:rsid w:val="00F24C9E"/>
    <w:rsid w:val="00F26E21"/>
    <w:rsid w:val="00F3038B"/>
    <w:rsid w:val="00F34282"/>
    <w:rsid w:val="00F47CA7"/>
    <w:rsid w:val="00F50E9C"/>
    <w:rsid w:val="00F533D5"/>
    <w:rsid w:val="00F550FE"/>
    <w:rsid w:val="00F610F3"/>
    <w:rsid w:val="00F623E3"/>
    <w:rsid w:val="00F71DC8"/>
    <w:rsid w:val="00F7346C"/>
    <w:rsid w:val="00F73955"/>
    <w:rsid w:val="00F7403B"/>
    <w:rsid w:val="00F74600"/>
    <w:rsid w:val="00F75E70"/>
    <w:rsid w:val="00F7713C"/>
    <w:rsid w:val="00F867CE"/>
    <w:rsid w:val="00F910F6"/>
    <w:rsid w:val="00F945BA"/>
    <w:rsid w:val="00FA1076"/>
    <w:rsid w:val="00FA1507"/>
    <w:rsid w:val="00FA477D"/>
    <w:rsid w:val="00FA784D"/>
    <w:rsid w:val="00FA7D14"/>
    <w:rsid w:val="00FA7F61"/>
    <w:rsid w:val="00FB03C2"/>
    <w:rsid w:val="00FB051E"/>
    <w:rsid w:val="00FB0F80"/>
    <w:rsid w:val="00FB17DE"/>
    <w:rsid w:val="00FC002E"/>
    <w:rsid w:val="00FC3445"/>
    <w:rsid w:val="00FD0EEB"/>
    <w:rsid w:val="00FD4E7F"/>
    <w:rsid w:val="00FD6DBE"/>
    <w:rsid w:val="00FD747A"/>
    <w:rsid w:val="00FE0116"/>
    <w:rsid w:val="00FE2884"/>
    <w:rsid w:val="00FE7B33"/>
    <w:rsid w:val="00FF01E0"/>
    <w:rsid w:val="00FF40B7"/>
    <w:rsid w:val="00FF66FE"/>
    <w:rsid w:val="00FF670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095753"/>
  <w15:docId w15:val="{3390DA48-9560-45F0-8C67-D29EFF6B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locked="1"/>
    <w:lsdException w:name="heading 5" w:lock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locked="1" w:semiHidden="1" w:uiPriority="35"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locked="1" w:semiHidden="1" w:unhideWhenUsed="1"/>
    <w:lsdException w:name="Strong"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locked="1" w:semiHidden="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BF"/>
    <w:pPr>
      <w:spacing w:line="240" w:lineRule="auto"/>
    </w:pPr>
    <w:rPr>
      <w:rFonts w:ascii="Century Gothic" w:eastAsia="Calibri" w:hAnsi="Century Gothic" w:cs="Calibri"/>
      <w:sz w:val="20"/>
      <w:lang w:val="en-US" w:eastAsia="en-US"/>
    </w:rPr>
  </w:style>
  <w:style w:type="paragraph" w:styleId="Heading1">
    <w:name w:val="heading 1"/>
    <w:basedOn w:val="Normal"/>
    <w:next w:val="Normal"/>
    <w:link w:val="Heading1Char"/>
    <w:uiPriority w:val="99"/>
    <w:qFormat/>
    <w:rsid w:val="00E31EBF"/>
    <w:pPr>
      <w:keepNext/>
      <w:keepLines/>
      <w:spacing w:before="240" w:after="240"/>
      <w:outlineLvl w:val="0"/>
    </w:pPr>
    <w:rPr>
      <w:rFonts w:eastAsia="MS ????"/>
      <w:b/>
      <w:bCs/>
      <w:sz w:val="36"/>
      <w:szCs w:val="36"/>
    </w:rPr>
  </w:style>
  <w:style w:type="paragraph" w:styleId="Heading2">
    <w:name w:val="heading 2"/>
    <w:basedOn w:val="Normal"/>
    <w:next w:val="Normal"/>
    <w:link w:val="Heading2Char"/>
    <w:uiPriority w:val="9"/>
    <w:qFormat/>
    <w:rsid w:val="00E31EBF"/>
    <w:pPr>
      <w:keepNext/>
      <w:keepLines/>
      <w:spacing w:before="200"/>
      <w:outlineLvl w:val="1"/>
    </w:pPr>
    <w:rPr>
      <w:rFonts w:eastAsia="MS ????"/>
      <w:b/>
      <w:bCs/>
      <w:color w:val="CD6084" w:themeColor="accent5"/>
      <w:sz w:val="24"/>
      <w:szCs w:val="28"/>
    </w:rPr>
  </w:style>
  <w:style w:type="paragraph" w:styleId="Heading3">
    <w:name w:val="heading 3"/>
    <w:basedOn w:val="Normal"/>
    <w:next w:val="Normal"/>
    <w:link w:val="Heading3Char"/>
    <w:autoRedefine/>
    <w:uiPriority w:val="9"/>
    <w:qFormat/>
    <w:rsid w:val="00C510D7"/>
    <w:pPr>
      <w:keepNext/>
      <w:keepLines/>
      <w:spacing w:before="200"/>
      <w:outlineLvl w:val="2"/>
    </w:pPr>
    <w:rPr>
      <w:rFonts w:eastAsia="MS ????"/>
      <w:b/>
      <w:bCs/>
      <w:color w:val="291F51" w:themeColor="accent1"/>
      <w:sz w:val="22"/>
      <w:szCs w:val="24"/>
    </w:rPr>
  </w:style>
  <w:style w:type="paragraph" w:styleId="Heading4">
    <w:name w:val="heading 4"/>
    <w:basedOn w:val="Normal"/>
    <w:next w:val="Normal"/>
    <w:link w:val="Heading4Char"/>
    <w:uiPriority w:val="99"/>
    <w:locked/>
    <w:rsid w:val="00E31EBF"/>
    <w:pPr>
      <w:keepNext/>
      <w:keepLines/>
      <w:numPr>
        <w:numId w:val="4"/>
      </w:numPr>
      <w:spacing w:before="200" w:after="120"/>
      <w:outlineLvl w:val="3"/>
    </w:pPr>
    <w:rPr>
      <w:rFonts w:eastAsia="MS ????"/>
      <w:b/>
      <w:bCs/>
      <w:sz w:val="24"/>
      <w:szCs w:val="24"/>
    </w:rPr>
  </w:style>
  <w:style w:type="paragraph" w:styleId="Heading5">
    <w:name w:val="heading 5"/>
    <w:basedOn w:val="Normal"/>
    <w:next w:val="Normal"/>
    <w:link w:val="Heading5Char"/>
    <w:uiPriority w:val="99"/>
    <w:locked/>
    <w:rsid w:val="00E31EBF"/>
    <w:pPr>
      <w:keepNext/>
      <w:keepLines/>
      <w:spacing w:before="200" w:after="0"/>
      <w:outlineLvl w:val="4"/>
    </w:pPr>
    <w:rPr>
      <w:rFonts w:eastAsia="MS ????"/>
      <w:b/>
      <w:bCs/>
    </w:rPr>
  </w:style>
  <w:style w:type="paragraph" w:styleId="Heading6">
    <w:name w:val="heading 6"/>
    <w:basedOn w:val="Normal"/>
    <w:next w:val="Normal"/>
    <w:link w:val="Heading6Char"/>
    <w:uiPriority w:val="9"/>
    <w:semiHidden/>
    <w:unhideWhenUsed/>
    <w:locked/>
    <w:rsid w:val="0046785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locked/>
    <w:rsid w:val="0046785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467850"/>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locked/>
    <w:rsid w:val="00467850"/>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locked/>
    <w:rsid w:val="00E31EBF"/>
    <w:rPr>
      <w:sz w:val="16"/>
      <w:szCs w:val="16"/>
    </w:rPr>
  </w:style>
  <w:style w:type="paragraph" w:styleId="CommentText">
    <w:name w:val="annotation text"/>
    <w:basedOn w:val="Normal"/>
    <w:link w:val="CommentTextChar"/>
    <w:uiPriority w:val="99"/>
    <w:rsid w:val="00E31EBF"/>
    <w:rPr>
      <w:szCs w:val="20"/>
    </w:rPr>
  </w:style>
  <w:style w:type="character" w:customStyle="1" w:styleId="CommentTextChar">
    <w:name w:val="Comment Text Char"/>
    <w:basedOn w:val="DefaultParagraphFont"/>
    <w:link w:val="CommentText"/>
    <w:uiPriority w:val="99"/>
    <w:rsid w:val="00E31EBF"/>
    <w:rPr>
      <w:rFonts w:ascii="Century Gothic" w:eastAsia="Calibri" w:hAnsi="Century Gothic" w:cs="Calibri"/>
      <w:sz w:val="20"/>
      <w:szCs w:val="20"/>
      <w:lang w:val="en-US" w:eastAsia="en-US"/>
    </w:rPr>
  </w:style>
  <w:style w:type="paragraph" w:styleId="CommentSubject">
    <w:name w:val="annotation subject"/>
    <w:basedOn w:val="CommentText"/>
    <w:next w:val="CommentText"/>
    <w:link w:val="CommentSubjectChar"/>
    <w:uiPriority w:val="99"/>
    <w:locked/>
    <w:rsid w:val="00E31EBF"/>
    <w:rPr>
      <w:b/>
      <w:bCs/>
    </w:rPr>
  </w:style>
  <w:style w:type="character" w:customStyle="1" w:styleId="CommentSubjectChar">
    <w:name w:val="Comment Subject Char"/>
    <w:basedOn w:val="CommentTextChar"/>
    <w:link w:val="CommentSubject"/>
    <w:uiPriority w:val="99"/>
    <w:rsid w:val="00E31EBF"/>
    <w:rPr>
      <w:rFonts w:ascii="Century Gothic" w:eastAsia="Calibri" w:hAnsi="Century Gothic" w:cs="Calibri"/>
      <w:b/>
      <w:bCs/>
      <w:sz w:val="20"/>
      <w:szCs w:val="20"/>
      <w:lang w:val="en-US" w:eastAsia="en-US"/>
    </w:rPr>
  </w:style>
  <w:style w:type="paragraph" w:styleId="BalloonText">
    <w:name w:val="Balloon Text"/>
    <w:basedOn w:val="Normal"/>
    <w:link w:val="BalloonTextChar"/>
    <w:uiPriority w:val="99"/>
    <w:locked/>
    <w:rsid w:val="00E31EBF"/>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E31EBF"/>
    <w:rPr>
      <w:rFonts w:ascii="Tahoma" w:eastAsia="Calibri" w:hAnsi="Tahoma" w:cs="Tahoma"/>
      <w:sz w:val="16"/>
      <w:szCs w:val="16"/>
      <w:lang w:val="en-US" w:eastAsia="en-US"/>
    </w:rPr>
  </w:style>
  <w:style w:type="paragraph" w:styleId="ListParagraph">
    <w:name w:val="List Paragraph"/>
    <w:basedOn w:val="Normal"/>
    <w:link w:val="ListParagraphChar"/>
    <w:uiPriority w:val="34"/>
    <w:qFormat/>
    <w:rsid w:val="00E31EBF"/>
    <w:pPr>
      <w:ind w:left="720"/>
    </w:pPr>
  </w:style>
  <w:style w:type="character" w:styleId="Hyperlink">
    <w:name w:val="Hyperlink"/>
    <w:basedOn w:val="DefaultParagraphFont"/>
    <w:uiPriority w:val="99"/>
    <w:qFormat/>
    <w:rsid w:val="00E31EBF"/>
    <w:rPr>
      <w:rFonts w:ascii="Century Gothic" w:hAnsi="Century Gothic"/>
      <w:color w:val="50ABBF" w:themeColor="accent2"/>
      <w:sz w:val="18"/>
      <w:u w:val="single"/>
    </w:rPr>
  </w:style>
  <w:style w:type="paragraph" w:styleId="NoSpacing">
    <w:name w:val="No Spacing"/>
    <w:uiPriority w:val="99"/>
    <w:rsid w:val="00E31EBF"/>
    <w:pPr>
      <w:spacing w:after="0" w:line="240" w:lineRule="auto"/>
    </w:pPr>
    <w:rPr>
      <w:rFonts w:ascii="Calibri" w:eastAsia="Calibri" w:hAnsi="Calibri" w:cs="Calibri"/>
      <w:lang w:val="en-US" w:eastAsia="en-US"/>
    </w:rPr>
  </w:style>
  <w:style w:type="table" w:styleId="TableGrid">
    <w:name w:val="Table Grid"/>
    <w:basedOn w:val="TableNormal"/>
    <w:uiPriority w:val="99"/>
    <w:rsid w:val="00E31EBF"/>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31EBF"/>
    <w:rPr>
      <w:rFonts w:ascii="Century Gothic" w:eastAsia="MS ????" w:hAnsi="Century Gothic" w:cs="Calibri"/>
      <w:b/>
      <w:bCs/>
      <w:sz w:val="36"/>
      <w:szCs w:val="36"/>
      <w:lang w:val="en-US" w:eastAsia="en-US"/>
    </w:rPr>
  </w:style>
  <w:style w:type="character" w:customStyle="1" w:styleId="Heading2Char">
    <w:name w:val="Heading 2 Char"/>
    <w:basedOn w:val="DefaultParagraphFont"/>
    <w:link w:val="Heading2"/>
    <w:uiPriority w:val="9"/>
    <w:rsid w:val="00E31EBF"/>
    <w:rPr>
      <w:rFonts w:ascii="Century Gothic" w:eastAsia="MS ????" w:hAnsi="Century Gothic" w:cs="Calibri"/>
      <w:b/>
      <w:bCs/>
      <w:color w:val="CD6084" w:themeColor="accent5"/>
      <w:sz w:val="24"/>
      <w:szCs w:val="28"/>
      <w:lang w:val="en-US" w:eastAsia="en-US"/>
    </w:rPr>
  </w:style>
  <w:style w:type="character" w:customStyle="1" w:styleId="Heading3Char">
    <w:name w:val="Heading 3 Char"/>
    <w:basedOn w:val="DefaultParagraphFont"/>
    <w:link w:val="Heading3"/>
    <w:uiPriority w:val="9"/>
    <w:rsid w:val="00C510D7"/>
    <w:rPr>
      <w:rFonts w:ascii="Century Gothic" w:eastAsia="MS ????" w:hAnsi="Century Gothic" w:cs="Calibri"/>
      <w:b/>
      <w:bCs/>
      <w:color w:val="291F51" w:themeColor="accent1"/>
      <w:szCs w:val="24"/>
      <w:lang w:val="en-US" w:eastAsia="en-US"/>
    </w:rPr>
  </w:style>
  <w:style w:type="paragraph" w:styleId="Header">
    <w:name w:val="header"/>
    <w:basedOn w:val="Normal"/>
    <w:link w:val="HeaderChar"/>
    <w:uiPriority w:val="99"/>
    <w:rsid w:val="00E31EBF"/>
    <w:pPr>
      <w:tabs>
        <w:tab w:val="center" w:pos="4513"/>
        <w:tab w:val="right" w:pos="9026"/>
      </w:tabs>
      <w:spacing w:after="0"/>
    </w:pPr>
  </w:style>
  <w:style w:type="character" w:customStyle="1" w:styleId="HeaderChar">
    <w:name w:val="Header Char"/>
    <w:basedOn w:val="DefaultParagraphFont"/>
    <w:link w:val="Header"/>
    <w:uiPriority w:val="99"/>
    <w:rsid w:val="00E31EBF"/>
    <w:rPr>
      <w:rFonts w:ascii="Century Gothic" w:eastAsia="Calibri" w:hAnsi="Century Gothic" w:cs="Calibri"/>
      <w:sz w:val="20"/>
      <w:lang w:val="en-US" w:eastAsia="en-US"/>
    </w:rPr>
  </w:style>
  <w:style w:type="paragraph" w:styleId="Footer">
    <w:name w:val="footer"/>
    <w:basedOn w:val="Normal"/>
    <w:link w:val="FooterChar"/>
    <w:uiPriority w:val="99"/>
    <w:rsid w:val="00E31EBF"/>
    <w:pPr>
      <w:tabs>
        <w:tab w:val="center" w:pos="4513"/>
        <w:tab w:val="right" w:pos="9026"/>
      </w:tabs>
      <w:spacing w:after="0"/>
    </w:pPr>
  </w:style>
  <w:style w:type="character" w:customStyle="1" w:styleId="FooterChar">
    <w:name w:val="Footer Char"/>
    <w:basedOn w:val="DefaultParagraphFont"/>
    <w:link w:val="Footer"/>
    <w:uiPriority w:val="99"/>
    <w:rsid w:val="00E31EBF"/>
    <w:rPr>
      <w:rFonts w:ascii="Century Gothic" w:eastAsia="Calibri" w:hAnsi="Century Gothic" w:cs="Calibri"/>
      <w:sz w:val="20"/>
      <w:lang w:val="en-US" w:eastAsia="en-US"/>
    </w:rPr>
  </w:style>
  <w:style w:type="table" w:styleId="LightList-Accent1">
    <w:name w:val="Light List Accent 1"/>
    <w:basedOn w:val="TableNormal"/>
    <w:uiPriority w:val="99"/>
    <w:rsid w:val="00E31EBF"/>
    <w:pPr>
      <w:spacing w:after="0" w:line="240" w:lineRule="auto"/>
    </w:pPr>
    <w:rPr>
      <w:rFonts w:ascii="Calibri" w:eastAsia="Calibri" w:hAnsi="Calibri" w:cs="Calibri"/>
      <w:sz w:val="20"/>
      <w:szCs w:val="20"/>
      <w:lang w:val="en-US" w:eastAsia="en-US"/>
    </w:rPr>
    <w:tblPr>
      <w:tblStyleRowBandSize w:val="1"/>
      <w:tblStyleColBandSize w:val="1"/>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1">
    <w:name w:val="Light Grid Accent 1"/>
    <w:basedOn w:val="TableNormal"/>
    <w:uiPriority w:val="99"/>
    <w:rsid w:val="00E31EBF"/>
    <w:pPr>
      <w:spacing w:after="0" w:line="240" w:lineRule="auto"/>
    </w:pPr>
    <w:rPr>
      <w:rFonts w:ascii="Calibri" w:eastAsia="Calibri" w:hAnsi="Calibri" w:cs="Calibri"/>
      <w:sz w:val="20"/>
      <w:szCs w:val="20"/>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MS ????"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MS ????"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 w:hAnsi="Calibri" w:cs="Calibri"/>
        <w:b/>
        <w:bCs/>
      </w:rPr>
    </w:tblStylePr>
    <w:tblStylePr w:type="lastCol">
      <w:rPr>
        <w:rFonts w:ascii="Calibri" w:eastAsia="MS ????"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tyle1">
    <w:name w:val="Style1"/>
    <w:uiPriority w:val="99"/>
    <w:rsid w:val="00E31EBF"/>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99"/>
    <w:rsid w:val="00E31EBF"/>
    <w:pPr>
      <w:spacing w:after="0" w:line="240" w:lineRule="auto"/>
    </w:pPr>
    <w:rPr>
      <w:rFonts w:ascii="Calibri" w:eastAsia="Calibri" w:hAnsi="Calibri" w:cs="Calibri"/>
      <w:color w:val="000000"/>
      <w:sz w:val="20"/>
      <w:szCs w:val="20"/>
      <w:lang w:val="en-US" w:eastAsia="en-US"/>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perscript">
    <w:name w:val="Superscript"/>
    <w:basedOn w:val="DefaultParagraphFont"/>
    <w:uiPriority w:val="99"/>
    <w:semiHidden/>
    <w:rsid w:val="00E31EBF"/>
    <w:rPr>
      <w:vertAlign w:val="superscript"/>
    </w:rPr>
  </w:style>
  <w:style w:type="paragraph" w:styleId="FootnoteText">
    <w:name w:val="footnote text"/>
    <w:basedOn w:val="Normal"/>
    <w:link w:val="FootnoteTextChar"/>
    <w:uiPriority w:val="99"/>
    <w:locked/>
    <w:rsid w:val="00E31EBF"/>
    <w:pPr>
      <w:spacing w:after="0"/>
    </w:pPr>
    <w:rPr>
      <w:szCs w:val="20"/>
    </w:rPr>
  </w:style>
  <w:style w:type="character" w:customStyle="1" w:styleId="FootnoteTextChar">
    <w:name w:val="Footnote Text Char"/>
    <w:basedOn w:val="DefaultParagraphFont"/>
    <w:link w:val="FootnoteText"/>
    <w:uiPriority w:val="99"/>
    <w:rsid w:val="00E31EBF"/>
    <w:rPr>
      <w:rFonts w:ascii="Century Gothic" w:eastAsia="Calibri" w:hAnsi="Century Gothic" w:cs="Calibri"/>
      <w:sz w:val="20"/>
      <w:szCs w:val="20"/>
      <w:lang w:val="en-US" w:eastAsia="en-US"/>
    </w:rPr>
  </w:style>
  <w:style w:type="character" w:styleId="FootnoteReference">
    <w:name w:val="footnote reference"/>
    <w:basedOn w:val="DefaultParagraphFont"/>
    <w:uiPriority w:val="99"/>
    <w:locked/>
    <w:rsid w:val="00E31EBF"/>
    <w:rPr>
      <w:vertAlign w:val="superscript"/>
    </w:rPr>
  </w:style>
  <w:style w:type="character" w:styleId="SubtleEmphasis">
    <w:name w:val="Subtle Emphasis"/>
    <w:basedOn w:val="DefaultParagraphFont"/>
    <w:uiPriority w:val="99"/>
    <w:locked/>
    <w:rsid w:val="00E31EBF"/>
    <w:rPr>
      <w:rFonts w:ascii="Calibri" w:hAnsi="Calibri" w:cs="Calibri"/>
      <w:i/>
      <w:iCs/>
      <w:color w:val="auto"/>
      <w:sz w:val="22"/>
      <w:szCs w:val="22"/>
    </w:rPr>
  </w:style>
  <w:style w:type="character" w:customStyle="1" w:styleId="Heading4Char">
    <w:name w:val="Heading 4 Char"/>
    <w:basedOn w:val="DefaultParagraphFont"/>
    <w:link w:val="Heading4"/>
    <w:uiPriority w:val="99"/>
    <w:rsid w:val="00E31EBF"/>
    <w:rPr>
      <w:rFonts w:ascii="Century Gothic" w:eastAsia="MS ????" w:hAnsi="Century Gothic" w:cs="Calibri"/>
      <w:b/>
      <w:bCs/>
      <w:sz w:val="24"/>
      <w:szCs w:val="24"/>
      <w:lang w:val="en-US" w:eastAsia="en-US"/>
    </w:rPr>
  </w:style>
  <w:style w:type="character" w:customStyle="1" w:styleId="Heading5Char">
    <w:name w:val="Heading 5 Char"/>
    <w:basedOn w:val="DefaultParagraphFont"/>
    <w:link w:val="Heading5"/>
    <w:uiPriority w:val="99"/>
    <w:rsid w:val="00E31EBF"/>
    <w:rPr>
      <w:rFonts w:ascii="Century Gothic" w:eastAsia="MS ????" w:hAnsi="Century Gothic" w:cs="Calibri"/>
      <w:b/>
      <w:bCs/>
      <w:sz w:val="20"/>
      <w:lang w:val="en-US" w:eastAsia="en-US"/>
    </w:rPr>
  </w:style>
  <w:style w:type="character" w:customStyle="1" w:styleId="Heading6Char">
    <w:name w:val="Heading 6 Char"/>
    <w:basedOn w:val="DefaultParagraphFont"/>
    <w:link w:val="Heading6"/>
    <w:uiPriority w:val="9"/>
    <w:semiHidden/>
    <w:rsid w:val="0046785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6785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6785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6785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46785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6785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locked/>
    <w:rsid w:val="0046785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67850"/>
    <w:rPr>
      <w:rFonts w:asciiTheme="majorHAnsi" w:eastAsiaTheme="majorEastAsia" w:hAnsiTheme="majorHAnsi" w:cstheme="majorBidi"/>
      <w:i/>
      <w:iCs/>
      <w:spacing w:val="13"/>
      <w:sz w:val="24"/>
      <w:szCs w:val="24"/>
    </w:rPr>
  </w:style>
  <w:style w:type="character" w:styleId="Strong">
    <w:name w:val="Strong"/>
    <w:uiPriority w:val="22"/>
    <w:rsid w:val="00467850"/>
    <w:rPr>
      <w:b/>
      <w:bCs/>
    </w:rPr>
  </w:style>
  <w:style w:type="character" w:styleId="Emphasis">
    <w:name w:val="Emphasis"/>
    <w:uiPriority w:val="20"/>
    <w:locked/>
    <w:rsid w:val="00467850"/>
    <w:rPr>
      <w:b/>
      <w:bCs/>
      <w:i/>
      <w:iCs/>
      <w:spacing w:val="10"/>
      <w:bdr w:val="none" w:sz="0" w:space="0" w:color="auto"/>
      <w:shd w:val="clear" w:color="auto" w:fill="auto"/>
    </w:rPr>
  </w:style>
  <w:style w:type="paragraph" w:styleId="Quote">
    <w:name w:val="Quote"/>
    <w:basedOn w:val="Normal"/>
    <w:next w:val="Normal"/>
    <w:link w:val="QuoteChar"/>
    <w:uiPriority w:val="29"/>
    <w:locked/>
    <w:rsid w:val="00467850"/>
    <w:pPr>
      <w:spacing w:before="200" w:after="0"/>
      <w:ind w:left="360" w:right="360"/>
    </w:pPr>
    <w:rPr>
      <w:i/>
      <w:iCs/>
    </w:rPr>
  </w:style>
  <w:style w:type="character" w:customStyle="1" w:styleId="QuoteChar">
    <w:name w:val="Quote Char"/>
    <w:basedOn w:val="DefaultParagraphFont"/>
    <w:link w:val="Quote"/>
    <w:uiPriority w:val="29"/>
    <w:rsid w:val="00467850"/>
    <w:rPr>
      <w:i/>
      <w:iCs/>
    </w:rPr>
  </w:style>
  <w:style w:type="paragraph" w:styleId="IntenseQuote">
    <w:name w:val="Intense Quote"/>
    <w:basedOn w:val="Normal"/>
    <w:next w:val="Normal"/>
    <w:link w:val="IntenseQuoteChar"/>
    <w:uiPriority w:val="30"/>
    <w:locked/>
    <w:rsid w:val="0046785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67850"/>
    <w:rPr>
      <w:b/>
      <w:bCs/>
      <w:i/>
      <w:iCs/>
    </w:rPr>
  </w:style>
  <w:style w:type="character" w:styleId="IntenseEmphasis">
    <w:name w:val="Intense Emphasis"/>
    <w:uiPriority w:val="21"/>
    <w:locked/>
    <w:rsid w:val="00467850"/>
    <w:rPr>
      <w:b/>
      <w:bCs/>
    </w:rPr>
  </w:style>
  <w:style w:type="character" w:styleId="SubtleReference">
    <w:name w:val="Subtle Reference"/>
    <w:uiPriority w:val="31"/>
    <w:locked/>
    <w:rsid w:val="00467850"/>
    <w:rPr>
      <w:smallCaps/>
    </w:rPr>
  </w:style>
  <w:style w:type="character" w:styleId="IntenseReference">
    <w:name w:val="Intense Reference"/>
    <w:uiPriority w:val="32"/>
    <w:locked/>
    <w:rsid w:val="00467850"/>
    <w:rPr>
      <w:smallCaps/>
      <w:spacing w:val="5"/>
      <w:u w:val="single"/>
    </w:rPr>
  </w:style>
  <w:style w:type="character" w:styleId="BookTitle">
    <w:name w:val="Book Title"/>
    <w:uiPriority w:val="33"/>
    <w:locked/>
    <w:rsid w:val="00467850"/>
    <w:rPr>
      <w:i/>
      <w:iCs/>
      <w:smallCaps/>
      <w:spacing w:val="5"/>
    </w:rPr>
  </w:style>
  <w:style w:type="paragraph" w:styleId="TOCHeading">
    <w:name w:val="TOC Heading"/>
    <w:basedOn w:val="Heading1"/>
    <w:next w:val="Normal"/>
    <w:uiPriority w:val="39"/>
    <w:semiHidden/>
    <w:unhideWhenUsed/>
    <w:qFormat/>
    <w:locked/>
    <w:rsid w:val="00467850"/>
    <w:pPr>
      <w:outlineLvl w:val="9"/>
    </w:pPr>
    <w:rPr>
      <w:lang w:bidi="en-US"/>
    </w:rPr>
  </w:style>
  <w:style w:type="paragraph" w:styleId="EndnoteText">
    <w:name w:val="endnote text"/>
    <w:basedOn w:val="Normal"/>
    <w:link w:val="EndnoteTextChar"/>
    <w:uiPriority w:val="99"/>
    <w:semiHidden/>
    <w:locked/>
    <w:rsid w:val="00E31EBF"/>
    <w:pPr>
      <w:spacing w:after="0"/>
    </w:pPr>
    <w:rPr>
      <w:szCs w:val="20"/>
    </w:rPr>
  </w:style>
  <w:style w:type="character" w:customStyle="1" w:styleId="EndnoteTextChar">
    <w:name w:val="Endnote Text Char"/>
    <w:basedOn w:val="DefaultParagraphFont"/>
    <w:link w:val="EndnoteText"/>
    <w:uiPriority w:val="99"/>
    <w:semiHidden/>
    <w:rsid w:val="00E31EBF"/>
    <w:rPr>
      <w:rFonts w:ascii="Century Gothic" w:eastAsia="Calibri" w:hAnsi="Century Gothic" w:cs="Calibri"/>
      <w:sz w:val="20"/>
      <w:szCs w:val="20"/>
      <w:lang w:val="en-US" w:eastAsia="en-US"/>
    </w:rPr>
  </w:style>
  <w:style w:type="character" w:styleId="EndnoteReference">
    <w:name w:val="endnote reference"/>
    <w:basedOn w:val="DefaultParagraphFont"/>
    <w:uiPriority w:val="99"/>
    <w:locked/>
    <w:rsid w:val="00E31EBF"/>
    <w:rPr>
      <w:vertAlign w:val="superscript"/>
    </w:rPr>
  </w:style>
  <w:style w:type="character" w:styleId="FollowedHyperlink">
    <w:name w:val="FollowedHyperlink"/>
    <w:basedOn w:val="DefaultParagraphFont"/>
    <w:uiPriority w:val="99"/>
    <w:semiHidden/>
    <w:locked/>
    <w:rsid w:val="00E31EBF"/>
    <w:rPr>
      <w:color w:val="800080"/>
      <w:u w:val="single"/>
    </w:rPr>
  </w:style>
  <w:style w:type="paragraph" w:customStyle="1" w:styleId="Default">
    <w:name w:val="Default"/>
    <w:rsid w:val="002A37C5"/>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eastAsia="en-US"/>
    </w:rPr>
  </w:style>
  <w:style w:type="character" w:customStyle="1" w:styleId="Link">
    <w:name w:val="Link"/>
    <w:rsid w:val="002A37C5"/>
    <w:rPr>
      <w:color w:val="50ABBF"/>
      <w:u w:val="single" w:color="50ABBF"/>
      <w:lang w:val="en-US"/>
    </w:rPr>
  </w:style>
  <w:style w:type="paragraph" w:styleId="Revision">
    <w:name w:val="Revision"/>
    <w:hidden/>
    <w:uiPriority w:val="99"/>
    <w:semiHidden/>
    <w:rsid w:val="00691634"/>
    <w:pPr>
      <w:spacing w:after="0" w:line="240" w:lineRule="auto"/>
    </w:pPr>
  </w:style>
  <w:style w:type="character" w:styleId="LineNumber">
    <w:name w:val="line number"/>
    <w:basedOn w:val="DefaultParagraphFont"/>
    <w:uiPriority w:val="99"/>
    <w:semiHidden/>
    <w:locked/>
    <w:rsid w:val="00E31EBF"/>
  </w:style>
  <w:style w:type="paragraph" w:styleId="NormalWeb">
    <w:name w:val="Normal (Web)"/>
    <w:basedOn w:val="Normal"/>
    <w:uiPriority w:val="99"/>
    <w:locked/>
    <w:rsid w:val="00E31EBF"/>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114F2F"/>
    <w:rPr>
      <w:color w:val="808080"/>
      <w:shd w:val="clear" w:color="auto" w:fill="E6E6E6"/>
    </w:rPr>
  </w:style>
  <w:style w:type="character" w:customStyle="1" w:styleId="UnresolvedMention2">
    <w:name w:val="Unresolved Mention2"/>
    <w:basedOn w:val="DefaultParagraphFont"/>
    <w:uiPriority w:val="99"/>
    <w:semiHidden/>
    <w:unhideWhenUsed/>
    <w:rsid w:val="00625273"/>
    <w:rPr>
      <w:color w:val="808080"/>
      <w:shd w:val="clear" w:color="auto" w:fill="E6E6E6"/>
    </w:rPr>
  </w:style>
  <w:style w:type="paragraph" w:customStyle="1" w:styleId="Bullets0">
    <w:name w:val="Bullets"/>
    <w:basedOn w:val="Normal"/>
    <w:link w:val="BulletsChar"/>
    <w:rsid w:val="00E31EBF"/>
    <w:pPr>
      <w:spacing w:after="40"/>
    </w:pPr>
    <w:rPr>
      <w:rFonts w:eastAsiaTheme="minorHAnsi" w:cstheme="minorBidi"/>
      <w:szCs w:val="18"/>
    </w:rPr>
  </w:style>
  <w:style w:type="character" w:customStyle="1" w:styleId="articletitle">
    <w:name w:val="articletitle"/>
    <w:basedOn w:val="DefaultParagraphFont"/>
    <w:uiPriority w:val="99"/>
    <w:rsid w:val="00E31EBF"/>
  </w:style>
  <w:style w:type="paragraph" w:customStyle="1" w:styleId="Body">
    <w:name w:val="Body"/>
    <w:rsid w:val="00E31EB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Calibri" w:hAnsi="Helvetica" w:cs="Helvetica"/>
      <w:color w:val="000000"/>
      <w:lang w:val="en-US" w:eastAsia="en-US"/>
    </w:rPr>
  </w:style>
  <w:style w:type="numbering" w:customStyle="1" w:styleId="Bullet">
    <w:name w:val="Bullet"/>
    <w:rsid w:val="00E31EBF"/>
    <w:pPr>
      <w:numPr>
        <w:numId w:val="1"/>
      </w:numPr>
    </w:pPr>
  </w:style>
  <w:style w:type="character" w:customStyle="1" w:styleId="BulletsChar">
    <w:name w:val="Bullets Char"/>
    <w:basedOn w:val="DefaultParagraphFont"/>
    <w:link w:val="Bullets0"/>
    <w:rsid w:val="00E31EBF"/>
    <w:rPr>
      <w:rFonts w:ascii="Century Gothic" w:eastAsiaTheme="minorHAnsi" w:hAnsi="Century Gothic"/>
      <w:sz w:val="20"/>
      <w:szCs w:val="18"/>
      <w:lang w:val="en-US" w:eastAsia="en-US"/>
    </w:rPr>
  </w:style>
  <w:style w:type="paragraph" w:customStyle="1" w:styleId="bullets">
    <w:name w:val="bullets"/>
    <w:basedOn w:val="Bullets0"/>
    <w:link w:val="bulletsChar0"/>
    <w:qFormat/>
    <w:rsid w:val="000F5CBB"/>
    <w:pPr>
      <w:numPr>
        <w:numId w:val="3"/>
      </w:numPr>
      <w:spacing w:after="120"/>
      <w:ind w:left="568" w:hanging="284"/>
    </w:pPr>
  </w:style>
  <w:style w:type="character" w:customStyle="1" w:styleId="bulletsChar0">
    <w:name w:val="bullets Char"/>
    <w:basedOn w:val="BulletsChar"/>
    <w:link w:val="bullets"/>
    <w:rsid w:val="000F5CBB"/>
    <w:rPr>
      <w:rFonts w:ascii="Century Gothic" w:eastAsiaTheme="minorHAnsi" w:hAnsi="Century Gothic"/>
      <w:sz w:val="20"/>
      <w:szCs w:val="18"/>
      <w:lang w:val="en-US" w:eastAsia="en-US"/>
    </w:rPr>
  </w:style>
  <w:style w:type="paragraph" w:customStyle="1" w:styleId="bullet2">
    <w:name w:val="bullet 2"/>
    <w:basedOn w:val="bullets"/>
    <w:link w:val="bullet2Char"/>
    <w:qFormat/>
    <w:rsid w:val="00E31EBF"/>
    <w:pPr>
      <w:ind w:left="851"/>
    </w:pPr>
  </w:style>
  <w:style w:type="character" w:customStyle="1" w:styleId="bullet2Char">
    <w:name w:val="bullet 2 Char"/>
    <w:basedOn w:val="bulletsChar0"/>
    <w:link w:val="bullet2"/>
    <w:rsid w:val="00E31EBF"/>
    <w:rPr>
      <w:rFonts w:ascii="Century Gothic" w:eastAsiaTheme="minorHAnsi" w:hAnsi="Century Gothic"/>
      <w:sz w:val="20"/>
      <w:szCs w:val="18"/>
      <w:lang w:val="en-US" w:eastAsia="en-US"/>
    </w:rPr>
  </w:style>
  <w:style w:type="paragraph" w:customStyle="1" w:styleId="Footnote">
    <w:name w:val="Footnote"/>
    <w:link w:val="FootnoteChar"/>
    <w:uiPriority w:val="99"/>
    <w:rsid w:val="00E31EB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Calibri" w:hAnsi="Helvetica" w:cs="Helvetica"/>
      <w:color w:val="000000"/>
      <w:lang w:val="en-US" w:eastAsia="en-US"/>
    </w:rPr>
  </w:style>
  <w:style w:type="character" w:customStyle="1" w:styleId="FootnoteChar">
    <w:name w:val="Footnote Char"/>
    <w:basedOn w:val="DefaultParagraphFont"/>
    <w:link w:val="Footnote"/>
    <w:uiPriority w:val="99"/>
    <w:rsid w:val="00E31EBF"/>
    <w:rPr>
      <w:rFonts w:ascii="Helvetica" w:eastAsia="Calibri" w:hAnsi="Helvetica" w:cs="Helvetica"/>
      <w:color w:val="000000"/>
      <w:lang w:val="en-US" w:eastAsia="en-US"/>
    </w:rPr>
  </w:style>
  <w:style w:type="paragraph" w:customStyle="1" w:styleId="FootnoteTextA">
    <w:name w:val="Footnote Text A"/>
    <w:uiPriority w:val="99"/>
    <w:rsid w:val="00E31EBF"/>
    <w:pPr>
      <w:spacing w:after="0" w:line="240" w:lineRule="auto"/>
    </w:pPr>
    <w:rPr>
      <w:rFonts w:ascii="Helvetica" w:eastAsia="?????? Pro W3" w:hAnsi="Helvetica" w:cs="Helvetica"/>
      <w:color w:val="000000"/>
      <w:sz w:val="20"/>
      <w:szCs w:val="20"/>
      <w:lang w:val="en-US" w:eastAsia="en-US"/>
    </w:rPr>
  </w:style>
  <w:style w:type="paragraph" w:customStyle="1" w:styleId="FootnoteText1">
    <w:name w:val="Footnote Text1"/>
    <w:uiPriority w:val="99"/>
    <w:rsid w:val="00E31EBF"/>
    <w:pPr>
      <w:spacing w:after="0" w:line="240" w:lineRule="auto"/>
    </w:pPr>
    <w:rPr>
      <w:rFonts w:ascii="Helvetica" w:eastAsia="?????? Pro W3" w:hAnsi="Helvetica" w:cs="Helvetica"/>
      <w:color w:val="000000"/>
      <w:sz w:val="20"/>
      <w:szCs w:val="20"/>
      <w:lang w:val="en-US" w:eastAsia="en-US"/>
    </w:rPr>
  </w:style>
  <w:style w:type="paragraph" w:customStyle="1" w:styleId="Heading51">
    <w:name w:val="Heading 51"/>
    <w:next w:val="Normal"/>
    <w:uiPriority w:val="99"/>
    <w:rsid w:val="00E31EBF"/>
    <w:pPr>
      <w:keepNext/>
      <w:keepLines/>
      <w:spacing w:before="200" w:after="0" w:line="240" w:lineRule="auto"/>
      <w:outlineLvl w:val="4"/>
    </w:pPr>
    <w:rPr>
      <w:rFonts w:ascii="Tipo de letra del sistema Fina" w:eastAsia="?????? Pro W3" w:hAnsi="Tipo de letra del sistema Fina" w:cs="Tipo de letra del sistema Fina"/>
      <w:b/>
      <w:bCs/>
      <w:color w:val="000000"/>
      <w:lang w:val="en-US" w:eastAsia="en-US"/>
    </w:rPr>
  </w:style>
  <w:style w:type="character" w:customStyle="1" w:styleId="Hyperlink1">
    <w:name w:val="Hyperlink1"/>
    <w:uiPriority w:val="99"/>
    <w:rsid w:val="00E31EBF"/>
    <w:rPr>
      <w:color w:val="auto"/>
      <w:sz w:val="22"/>
      <w:szCs w:val="22"/>
      <w:u w:val="single"/>
    </w:rPr>
  </w:style>
  <w:style w:type="character" w:customStyle="1" w:styleId="ListParagraphChar">
    <w:name w:val="List Paragraph Char"/>
    <w:basedOn w:val="DefaultParagraphFont"/>
    <w:link w:val="ListParagraph"/>
    <w:uiPriority w:val="99"/>
    <w:rsid w:val="00E31EBF"/>
    <w:rPr>
      <w:rFonts w:ascii="Century Gothic" w:eastAsia="Calibri" w:hAnsi="Century Gothic" w:cs="Calibri"/>
      <w:sz w:val="20"/>
      <w:lang w:val="en-US" w:eastAsia="en-US"/>
    </w:rPr>
  </w:style>
  <w:style w:type="paragraph" w:customStyle="1" w:styleId="Normal1">
    <w:name w:val="Normal1"/>
    <w:uiPriority w:val="99"/>
    <w:rsid w:val="00E31EBF"/>
    <w:pPr>
      <w:spacing w:line="240" w:lineRule="auto"/>
    </w:pPr>
    <w:rPr>
      <w:rFonts w:ascii="Times" w:eastAsia="?????? Pro W3" w:hAnsi="Times" w:cs="Times"/>
      <w:color w:val="000000"/>
      <w:sz w:val="28"/>
      <w:szCs w:val="28"/>
      <w:lang w:val="en-US" w:eastAsia="en-US"/>
    </w:rPr>
  </w:style>
  <w:style w:type="paragraph" w:customStyle="1" w:styleId="recommendation">
    <w:name w:val="recommendation"/>
    <w:basedOn w:val="ListParagraph"/>
    <w:link w:val="recommendationChar"/>
    <w:qFormat/>
    <w:rsid w:val="00E31EBF"/>
    <w:pPr>
      <w:numPr>
        <w:ilvl w:val="1"/>
        <w:numId w:val="4"/>
      </w:numPr>
      <w:ind w:left="567" w:hanging="567"/>
    </w:pPr>
  </w:style>
  <w:style w:type="character" w:customStyle="1" w:styleId="recommendationChar">
    <w:name w:val="recommendation Char"/>
    <w:basedOn w:val="ListParagraphChar"/>
    <w:link w:val="recommendation"/>
    <w:rsid w:val="00E31EBF"/>
    <w:rPr>
      <w:rFonts w:ascii="Century Gothic" w:eastAsia="Calibri" w:hAnsi="Century Gothic" w:cs="Calibri"/>
      <w:sz w:val="20"/>
      <w:lang w:val="en-US" w:eastAsia="en-US"/>
    </w:rPr>
  </w:style>
  <w:style w:type="paragraph" w:customStyle="1" w:styleId="References">
    <w:name w:val="References"/>
    <w:basedOn w:val="Footnote"/>
    <w:link w:val="ReferencesChar"/>
    <w:qFormat/>
    <w:rsid w:val="00E31EBF"/>
    <w:pPr>
      <w:pBdr>
        <w:top w:val="none" w:sz="0" w:space="0" w:color="auto"/>
        <w:left w:val="none" w:sz="0" w:space="0" w:color="auto"/>
        <w:bottom w:val="none" w:sz="0" w:space="0" w:color="auto"/>
        <w:right w:val="none" w:sz="0" w:space="0" w:color="auto"/>
        <w:bar w:val="none" w:sz="0" w:color="auto"/>
      </w:pBdr>
      <w:spacing w:after="80"/>
      <w:ind w:left="426" w:hanging="426"/>
    </w:pPr>
    <w:rPr>
      <w:rFonts w:ascii="Century Gothic" w:hAnsi="Century Gothic" w:cs="Calibri"/>
      <w:sz w:val="18"/>
      <w:szCs w:val="18"/>
    </w:rPr>
  </w:style>
  <w:style w:type="character" w:customStyle="1" w:styleId="ReferencesChar">
    <w:name w:val="References Char"/>
    <w:basedOn w:val="FootnoteChar"/>
    <w:link w:val="References"/>
    <w:rsid w:val="00E31EBF"/>
    <w:rPr>
      <w:rFonts w:ascii="Century Gothic" w:eastAsia="Calibri" w:hAnsi="Century Gothic" w:cs="Calibri"/>
      <w:color w:val="000000"/>
      <w:sz w:val="18"/>
      <w:szCs w:val="18"/>
      <w:lang w:val="en-US" w:eastAsia="en-US"/>
    </w:rPr>
  </w:style>
  <w:style w:type="table" w:customStyle="1" w:styleId="TableGrid1">
    <w:name w:val="Table Grid1"/>
    <w:uiPriority w:val="99"/>
    <w:rsid w:val="00E31EBF"/>
    <w:pPr>
      <w:spacing w:after="0" w:line="240" w:lineRule="auto"/>
    </w:pPr>
    <w:rPr>
      <w:rFonts w:ascii="Calibri" w:eastAsia="Calibri" w:hAnsi="Calibri"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E31EBF"/>
    <w:rPr>
      <w:color w:val="808080"/>
      <w:shd w:val="clear" w:color="auto" w:fill="E6E6E6"/>
    </w:rPr>
  </w:style>
  <w:style w:type="character" w:customStyle="1" w:styleId="UnresolvedMention4">
    <w:name w:val="Unresolved Mention4"/>
    <w:basedOn w:val="DefaultParagraphFont"/>
    <w:uiPriority w:val="99"/>
    <w:semiHidden/>
    <w:unhideWhenUsed/>
    <w:rsid w:val="003507A3"/>
    <w:rPr>
      <w:color w:val="605E5C"/>
      <w:shd w:val="clear" w:color="auto" w:fill="E1DFDD"/>
    </w:rPr>
  </w:style>
  <w:style w:type="character" w:customStyle="1" w:styleId="cf01">
    <w:name w:val="cf01"/>
    <w:basedOn w:val="DefaultParagraphFont"/>
    <w:rsid w:val="00857ADE"/>
    <w:rPr>
      <w:rFonts w:ascii="Segoe UI" w:hAnsi="Segoe UI" w:cs="Segoe UI" w:hint="default"/>
      <w:color w:val="151719"/>
      <w:sz w:val="18"/>
      <w:szCs w:val="18"/>
      <w:shd w:val="clear" w:color="auto" w:fill="FFFFFF"/>
    </w:rPr>
  </w:style>
  <w:style w:type="character" w:customStyle="1" w:styleId="None">
    <w:name w:val="None"/>
    <w:rsid w:val="004319F8"/>
  </w:style>
  <w:style w:type="character" w:styleId="UnresolvedMention">
    <w:name w:val="Unresolved Mention"/>
    <w:basedOn w:val="DefaultParagraphFont"/>
    <w:uiPriority w:val="99"/>
    <w:semiHidden/>
    <w:unhideWhenUsed/>
    <w:rsid w:val="00B4747A"/>
    <w:rPr>
      <w:color w:val="605E5C"/>
      <w:shd w:val="clear" w:color="auto" w:fill="E1DFDD"/>
    </w:rPr>
  </w:style>
  <w:style w:type="character" w:customStyle="1" w:styleId="NoneA">
    <w:name w:val="None A"/>
    <w:rsid w:val="0001754E"/>
    <w:rPr>
      <w:lang w:val="en-US"/>
    </w:rPr>
  </w:style>
  <w:style w:type="character" w:customStyle="1" w:styleId="NoneB">
    <w:name w:val="None B"/>
    <w:rsid w:val="0088690E"/>
  </w:style>
  <w:style w:type="character" w:customStyle="1" w:styleId="Hyperlink3">
    <w:name w:val="Hyperlink.3"/>
    <w:basedOn w:val="None"/>
    <w:rsid w:val="0088690E"/>
    <w:rPr>
      <w:rFonts w:ascii="Century Gothic" w:eastAsia="Century Gothic" w:hAnsi="Century Gothic" w:cs="Century Gothic"/>
      <w:outline w:val="0"/>
      <w:color w:val="50ABBF"/>
      <w:u w:val="single" w:color="50AB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809">
      <w:bodyDiv w:val="1"/>
      <w:marLeft w:val="0"/>
      <w:marRight w:val="0"/>
      <w:marTop w:val="0"/>
      <w:marBottom w:val="0"/>
      <w:divBdr>
        <w:top w:val="none" w:sz="0" w:space="0" w:color="auto"/>
        <w:left w:val="none" w:sz="0" w:space="0" w:color="auto"/>
        <w:bottom w:val="none" w:sz="0" w:space="0" w:color="auto"/>
        <w:right w:val="none" w:sz="0" w:space="0" w:color="auto"/>
      </w:divBdr>
    </w:div>
    <w:div w:id="665059693">
      <w:bodyDiv w:val="1"/>
      <w:marLeft w:val="0"/>
      <w:marRight w:val="0"/>
      <w:marTop w:val="0"/>
      <w:marBottom w:val="0"/>
      <w:divBdr>
        <w:top w:val="none" w:sz="0" w:space="0" w:color="auto"/>
        <w:left w:val="none" w:sz="0" w:space="0" w:color="auto"/>
        <w:bottom w:val="none" w:sz="0" w:space="0" w:color="auto"/>
        <w:right w:val="none" w:sz="0" w:space="0" w:color="auto"/>
      </w:divBdr>
    </w:div>
    <w:div w:id="878203492">
      <w:bodyDiv w:val="1"/>
      <w:marLeft w:val="0"/>
      <w:marRight w:val="0"/>
      <w:marTop w:val="0"/>
      <w:marBottom w:val="0"/>
      <w:divBdr>
        <w:top w:val="none" w:sz="0" w:space="0" w:color="auto"/>
        <w:left w:val="none" w:sz="0" w:space="0" w:color="auto"/>
        <w:bottom w:val="none" w:sz="0" w:space="0" w:color="auto"/>
        <w:right w:val="none" w:sz="0" w:space="0" w:color="auto"/>
      </w:divBdr>
    </w:div>
    <w:div w:id="1251231802">
      <w:bodyDiv w:val="1"/>
      <w:marLeft w:val="0"/>
      <w:marRight w:val="0"/>
      <w:marTop w:val="0"/>
      <w:marBottom w:val="0"/>
      <w:divBdr>
        <w:top w:val="none" w:sz="0" w:space="0" w:color="auto"/>
        <w:left w:val="none" w:sz="0" w:space="0" w:color="auto"/>
        <w:bottom w:val="none" w:sz="0" w:space="0" w:color="auto"/>
        <w:right w:val="none" w:sz="0" w:space="0" w:color="auto"/>
      </w:divBdr>
    </w:div>
    <w:div w:id="1364094514">
      <w:bodyDiv w:val="1"/>
      <w:marLeft w:val="0"/>
      <w:marRight w:val="0"/>
      <w:marTop w:val="0"/>
      <w:marBottom w:val="0"/>
      <w:divBdr>
        <w:top w:val="none" w:sz="0" w:space="0" w:color="auto"/>
        <w:left w:val="none" w:sz="0" w:space="0" w:color="auto"/>
        <w:bottom w:val="none" w:sz="0" w:space="0" w:color="auto"/>
        <w:right w:val="none" w:sz="0" w:space="0" w:color="auto"/>
      </w:divBdr>
    </w:div>
    <w:div w:id="1395547682">
      <w:bodyDiv w:val="1"/>
      <w:marLeft w:val="0"/>
      <w:marRight w:val="0"/>
      <w:marTop w:val="0"/>
      <w:marBottom w:val="0"/>
      <w:divBdr>
        <w:top w:val="none" w:sz="0" w:space="0" w:color="auto"/>
        <w:left w:val="none" w:sz="0" w:space="0" w:color="auto"/>
        <w:bottom w:val="none" w:sz="0" w:space="0" w:color="auto"/>
        <w:right w:val="none" w:sz="0" w:space="0" w:color="auto"/>
      </w:divBdr>
    </w:div>
    <w:div w:id="1503426699">
      <w:bodyDiv w:val="1"/>
      <w:marLeft w:val="0"/>
      <w:marRight w:val="0"/>
      <w:marTop w:val="0"/>
      <w:marBottom w:val="0"/>
      <w:divBdr>
        <w:top w:val="none" w:sz="0" w:space="0" w:color="auto"/>
        <w:left w:val="none" w:sz="0" w:space="0" w:color="auto"/>
        <w:bottom w:val="none" w:sz="0" w:space="0" w:color="auto"/>
        <w:right w:val="none" w:sz="0" w:space="0" w:color="auto"/>
      </w:divBdr>
    </w:div>
    <w:div w:id="1529638033">
      <w:bodyDiv w:val="1"/>
      <w:marLeft w:val="0"/>
      <w:marRight w:val="0"/>
      <w:marTop w:val="0"/>
      <w:marBottom w:val="0"/>
      <w:divBdr>
        <w:top w:val="none" w:sz="0" w:space="0" w:color="auto"/>
        <w:left w:val="none" w:sz="0" w:space="0" w:color="auto"/>
        <w:bottom w:val="none" w:sz="0" w:space="0" w:color="auto"/>
        <w:right w:val="none" w:sz="0" w:space="0" w:color="auto"/>
      </w:divBdr>
    </w:div>
    <w:div w:id="1660377271">
      <w:bodyDiv w:val="1"/>
      <w:marLeft w:val="0"/>
      <w:marRight w:val="0"/>
      <w:marTop w:val="0"/>
      <w:marBottom w:val="0"/>
      <w:divBdr>
        <w:top w:val="none" w:sz="0" w:space="0" w:color="auto"/>
        <w:left w:val="none" w:sz="0" w:space="0" w:color="auto"/>
        <w:bottom w:val="none" w:sz="0" w:space="0" w:color="auto"/>
        <w:right w:val="none" w:sz="0" w:space="0" w:color="auto"/>
      </w:divBdr>
    </w:div>
    <w:div w:id="1813910996">
      <w:bodyDiv w:val="1"/>
      <w:marLeft w:val="0"/>
      <w:marRight w:val="0"/>
      <w:marTop w:val="0"/>
      <w:marBottom w:val="0"/>
      <w:divBdr>
        <w:top w:val="none" w:sz="0" w:space="0" w:color="auto"/>
        <w:left w:val="none" w:sz="0" w:space="0" w:color="auto"/>
        <w:bottom w:val="none" w:sz="0" w:space="0" w:color="auto"/>
        <w:right w:val="none" w:sz="0" w:space="0" w:color="auto"/>
      </w:divBdr>
    </w:div>
    <w:div w:id="210602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a-uk.org/index.php/resources/guidelines-standards.html" TargetMode="External"/><Relationship Id="rId18" Type="http://schemas.openxmlformats.org/officeDocument/2006/relationships/hyperlink" Target="https://www.rcoa.ac.uk/gpas/chapter-10"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www.rcoa.ac.uk/chapter-16" TargetMode="External"/><Relationship Id="rId7" Type="http://schemas.openxmlformats.org/officeDocument/2006/relationships/endnotes" Target="endnotes.xml"/><Relationship Id="rId12" Type="http://schemas.openxmlformats.org/officeDocument/2006/relationships/hyperlink" Target="https://rcoa.ac.uk/gpas/chapter-2" TargetMode="External"/><Relationship Id="rId17" Type="http://schemas.openxmlformats.org/officeDocument/2006/relationships/hyperlink" Target="https://rcoa.ac.uk/gpas/chapter-2" TargetMode="Externa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oa.ac.uk/gpas/chapter-2" TargetMode="External"/><Relationship Id="rId20" Type="http://schemas.openxmlformats.org/officeDocument/2006/relationships/hyperlink" Target="https://www.rcoa.ac.uk/gpas/chapter-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oa.ac.uk/gpas/chapter-1" TargetMode="External"/><Relationship Id="rId24" Type="http://schemas.openxmlformats.org/officeDocument/2006/relationships/hyperlink" Target="https://www.rcoa.ac.uk/safety-standards-quality/anaesthesia-clinical-services-accreditation"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rcoa.ac.uk/gpas/chapter-2" TargetMode="External"/><Relationship Id="rId23" Type="http://schemas.openxmlformats.org/officeDocument/2006/relationships/hyperlink" Target="https://www.rcoa.ac.uk/node/18556" TargetMode="External"/><Relationship Id="rId28" Type="http://schemas.microsoft.com/office/2018/08/relationships/commentsExtensible" Target="commentsExtensible.xml"/><Relationship Id="rId10" Type="http://schemas.openxmlformats.org/officeDocument/2006/relationships/hyperlink" Target="https://rcoa.ac.uk/gpas/chapter-5" TargetMode="External"/><Relationship Id="rId19" Type="http://schemas.openxmlformats.org/officeDocument/2006/relationships/hyperlink" Target="https://www.rcoa.ac.uk/gpas/chapter-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coa.ac.uk/gpas/chapter-2" TargetMode="External"/><Relationship Id="rId14" Type="http://schemas.openxmlformats.org/officeDocument/2006/relationships/hyperlink" Target="https://www.rcoa.ac.uk/gpas/chapter-2" TargetMode="External"/><Relationship Id="rId22" Type="http://schemas.openxmlformats.org/officeDocument/2006/relationships/hyperlink" Target="https://www.rcoa.ac.uk/gpas/chapter-13" TargetMode="External"/><Relationship Id="rId27" Type="http://schemas.microsoft.com/office/2016/09/relationships/commentsIds" Target="commentsIds.xml"/><Relationship Id="rId30" Type="http://schemas.openxmlformats.org/officeDocument/2006/relationships/footer" Target="footer1.xml"/><Relationship Id="rId8" Type="http://schemas.openxmlformats.org/officeDocument/2006/relationships/hyperlink" Target="https://www.rcoa.ac.uk/gpas/chapter-1/good-dept"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rcoa.ac.uk/news/transition-non-luer-nrfit-devices" TargetMode="External"/><Relationship Id="rId18" Type="http://schemas.openxmlformats.org/officeDocument/2006/relationships/hyperlink" Target="https://www.rcoa.ac.uk/news/safe-drug-management-anaesthetic-practice" TargetMode="External"/><Relationship Id="rId26" Type="http://schemas.openxmlformats.org/officeDocument/2006/relationships/hyperlink" Target="https://www.ra-uk.org/images/Documents/ConsentforRA2015.pdf" TargetMode="External"/><Relationship Id="rId21" Type="http://schemas.openxmlformats.org/officeDocument/2006/relationships/hyperlink" Target="https://www.cqc.org.uk/sites/default/files/20190708_controlleddrugs2018_report.pdf" TargetMode="External"/><Relationship Id="rId34" Type="http://schemas.openxmlformats.org/officeDocument/2006/relationships/hyperlink" Target="https://www.boa.ac.uk/standards-guidance/boasts/trauma-boasts.html" TargetMode="External"/><Relationship Id="rId7" Type="http://schemas.openxmlformats.org/officeDocument/2006/relationships/hyperlink" Target="https://www.ra-uk.org/index.php?option=com_content&amp;view=article&amp;id=485&amp;Itemid=919" TargetMode="External"/><Relationship Id="rId12" Type="http://schemas.openxmlformats.org/officeDocument/2006/relationships/hyperlink" Target="https://www.health.org.uk/sites/default/files/UCLH_Block%20Room.pdf" TargetMode="External"/><Relationship Id="rId17" Type="http://schemas.openxmlformats.org/officeDocument/2006/relationships/hyperlink" Target="https://www.rcoa.ac.uk/sites/default/files/documents/2019-09/StorageDrugs2016.pdf" TargetMode="External"/><Relationship Id="rId25" Type="http://schemas.openxmlformats.org/officeDocument/2006/relationships/hyperlink" Target="https://anaesthetists.org/Home/Resources-publications/Guidelines/Regional-anaesthesia-and-patients-with-abnormalities-of-coagulation" TargetMode="External"/><Relationship Id="rId33" Type="http://schemas.openxmlformats.org/officeDocument/2006/relationships/hyperlink" Target="https://anaesthetists.org/Home/Resources-publications/Guidelines/Anaesthesia-and-sedation-in-breastfeeding-women-2020" TargetMode="External"/><Relationship Id="rId2" Type="http://schemas.openxmlformats.org/officeDocument/2006/relationships/hyperlink" Target="https://esraeurope.org/prospect/" TargetMode="External"/><Relationship Id="rId16" Type="http://schemas.openxmlformats.org/officeDocument/2006/relationships/hyperlink" Target="https://anaesthetists.org/Home/Resources-publications/Guidelines/Archived-guidelines/Safe-management-of-anaesthetic-related-equipment" TargetMode="External"/><Relationship Id="rId20" Type="http://schemas.openxmlformats.org/officeDocument/2006/relationships/hyperlink" Target="https://www.legislation.gov.uk/uksi/2001/3998/contents/made" TargetMode="External"/><Relationship Id="rId29" Type="http://schemas.openxmlformats.org/officeDocument/2006/relationships/hyperlink" Target="https://www.gmc-uk.org/professional-standards/good-medical-practice-2024" TargetMode="External"/><Relationship Id="rId1" Type="http://schemas.openxmlformats.org/officeDocument/2006/relationships/hyperlink" Target="https://anaesthetists.org/Home/Resources-publications/Guidelines/Archived-guidelines/Management-of-severe-local-anaesthetic-toxicity" TargetMode="External"/><Relationship Id="rId6" Type="http://schemas.openxmlformats.org/officeDocument/2006/relationships/hyperlink" Target="https://cpoc.org.uk/guidelines-resources-guidelines/national-safety-standards-invasive-procedures-natssips" TargetMode="External"/><Relationship Id="rId11" Type="http://schemas.openxmlformats.org/officeDocument/2006/relationships/hyperlink" Target="https://anaesthetists.org/Home/Resources-publications/Guidelines/Immediate-post-anaesthesia-recovery" TargetMode="External"/><Relationship Id="rId24" Type="http://schemas.openxmlformats.org/officeDocument/2006/relationships/hyperlink" Target="https://anaesthetists.org/Home/Resources-publications/Guidelines/Pre-operative-assessment-and-patient-preparation-the-role-of-the-anaesthetist-2" TargetMode="External"/><Relationship Id="rId32" Type="http://schemas.openxmlformats.org/officeDocument/2006/relationships/hyperlink" Target="https://associationofanaesthetists-publications.onlinelibrary.wiley.com/doi/full/10.1111/anae.14639" TargetMode="External"/><Relationship Id="rId37" Type="http://schemas.openxmlformats.org/officeDocument/2006/relationships/hyperlink" Target="https://www.gettingitrightfirsttime.co.uk/wp-content/uploads/2020/10/National-Day-Surgery-Delivery-Pack_Sept2020_final.pdf" TargetMode="External"/><Relationship Id="rId5" Type="http://schemas.openxmlformats.org/officeDocument/2006/relationships/hyperlink" Target="https://www.england.nhs.uk/patient-safety/patient-safety-insight/learning-from-patient-safety-events/" TargetMode="External"/><Relationship Id="rId15" Type="http://schemas.openxmlformats.org/officeDocument/2006/relationships/hyperlink" Target="https://anaesthetists.org/Home/Resources-publications/Guidelines/Checking-Anaesthetic-Equipment" TargetMode="External"/><Relationship Id="rId23" Type="http://schemas.openxmlformats.org/officeDocument/2006/relationships/hyperlink" Target="https://anaesthetists.org/Home/Resources-publications/Guidelines/Ergonomics-in-the-anaesthetic-workplace" TargetMode="External"/><Relationship Id="rId28" Type="http://schemas.openxmlformats.org/officeDocument/2006/relationships/hyperlink" Target="https://www.rcoa.ac.uk/training-careers/training-hub/2021-anaesthetics-curriculum" TargetMode="External"/><Relationship Id="rId36" Type="http://schemas.openxmlformats.org/officeDocument/2006/relationships/hyperlink" Target="https://anaesthetists.org/Home/Resources-publications/Guidelines/Management-of-hip-fractures-2020" TargetMode="External"/><Relationship Id="rId10" Type="http://schemas.openxmlformats.org/officeDocument/2006/relationships/hyperlink" Target="https://www.rcoa.ac.uk/gpas/chapter-2" TargetMode="External"/><Relationship Id="rId19" Type="http://schemas.openxmlformats.org/officeDocument/2006/relationships/hyperlink" Target="https://www.rpharms.com/recognition/setting-professional-standards/safe-and-secure-handling-of-medicines/professional-guidance-on-the-safe-and-secure-handling-of-medicines" TargetMode="External"/><Relationship Id="rId31" Type="http://schemas.openxmlformats.org/officeDocument/2006/relationships/hyperlink" Target="https://www.apagbi.org.uk/sites/default/files/inline-files/APA%20Guideline%20part%201.pdf" TargetMode="External"/><Relationship Id="rId4" Type="http://schemas.openxmlformats.org/officeDocument/2006/relationships/hyperlink" Target="https://www.ra-uk.org/index.php/resources/guidelines-standards/5-guidelines/detail/274-supervision-statement" TargetMode="External"/><Relationship Id="rId9" Type="http://schemas.openxmlformats.org/officeDocument/2006/relationships/hyperlink" Target="https://www.boa.ac.uk/resource/rauk-boa-peripheral-nerve-guidelines-pdf.html" TargetMode="External"/><Relationship Id="rId14" Type="http://schemas.openxmlformats.org/officeDocument/2006/relationships/hyperlink" Target="https://anaesthetists.org/Home/Resources-publications/Guidelines/Recommendations-for-standards-of-monitoring-during-anaesthesia-and-recovery-2021" TargetMode="External"/><Relationship Id="rId22" Type="http://schemas.openxmlformats.org/officeDocument/2006/relationships/hyperlink" Target="https://anaesthetists.org/Home/Resources-publications/Guidelines/Handling-injectable-medications-in-anaesthesia" TargetMode="External"/><Relationship Id="rId27" Type="http://schemas.openxmlformats.org/officeDocument/2006/relationships/hyperlink" Target="https://www.ra-uk.org/images/Documents/DEFINITIVE_RAUK_BOA_guidelines.pdf" TargetMode="External"/><Relationship Id="rId30" Type="http://schemas.openxmlformats.org/officeDocument/2006/relationships/hyperlink" Target="https://www.gmc-uk.org/professional-standards/professional-standards-for-doctors/good-medical-practice" TargetMode="External"/><Relationship Id="rId35" Type="http://schemas.openxmlformats.org/officeDocument/2006/relationships/hyperlink" Target="https://rcoa.ac.uk/chapter-7" TargetMode="External"/><Relationship Id="rId8" Type="http://schemas.openxmlformats.org/officeDocument/2006/relationships/hyperlink" Target="https://anaesthetists.org/Home/News-opinion/News/Fascia-Iliaca-blocks-and-non-physician-practitioners" TargetMode="External"/><Relationship Id="rId3" Type="http://schemas.openxmlformats.org/officeDocument/2006/relationships/hyperlink" Target="https://www.rcoa.ac.uk/node/18556" TargetMode="External"/></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00DBE-A179-FD41-B684-82DF2699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6974</Words>
  <Characters>39753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Owen Waite</cp:lastModifiedBy>
  <cp:revision>53</cp:revision>
  <cp:lastPrinted>2018-01-15T16:06:00Z</cp:lastPrinted>
  <dcterms:created xsi:type="dcterms:W3CDTF">2024-04-03T08:56:00Z</dcterms:created>
  <dcterms:modified xsi:type="dcterms:W3CDTF">2024-04-05T13:33:00Z</dcterms:modified>
</cp:coreProperties>
</file>